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sz w:val="48"/>
          <w:szCs w:val="48"/>
        </w:rPr>
        <w:t xml:space="preserve">QA Manual &amp; Automation with Playwright, TypeScript, Docker, n8n and AI</w:t>
      </w:r>
    </w:p>
    <w:p>
      <w:pPr>
        <w:spacing w:after="240"/>
      </w:pPr>
      <w:r>
        <w:rPr>
          <w:rFonts w:ascii="Calibri" w:cs="Calibri" w:eastAsia="Calibri" w:hAnsi="Calibri"/>
          <w:i/>
          <w:iCs/>
          <w:color w:val="444444"/>
          <w:sz w:val="22"/>
          <w:szCs w:val="22"/>
        </w:rPr>
        <w:t xml:space="preserve">Course syllabus  •  86 hours  •  Online on Zoom  •  Thursdays and Saturdays, 6:00–9:00 PM  •  Starts 22 October 2026</w:t>
      </w:r>
    </w:p>
    <w:p>
      <w:pPr>
        <w:spacing w:after="120" w:line="276"/>
      </w:pPr>
      <w:r>
        <w:rPr>
          <w:rFonts w:ascii="Calibri" w:cs="Calibri" w:eastAsia="Calibri" w:hAnsi="Calibri"/>
          <w:sz w:val="21"/>
          <w:szCs w:val="21"/>
        </w:rPr>
        <w:t xml:space="preserve">This practical course takes learners from software testing fundamentals to a complete, job-ready QA automation pipeline. Learners design and execute manual tests, automate browser, API, visual and accessibility checks with Playwright and TypeScript, use AI tools responsibly to speed up testing, run tests in Docker and GitHub Actions, and use n8n to orchestrate test runs, triage failures with AI and notify the team. Every learner graduates with a public portfolio project that proves these skills.</w:t>
      </w:r>
    </w:p>
    <w:p>
      <w:pPr>
        <w:pStyle w:val="Heading1"/>
        <w:spacing w:after="120" w:before="320"/>
      </w:pPr>
      <w:r>
        <w:rPr>
          <w:rFonts w:ascii="Calibri" w:cs="Calibri" w:eastAsia="Calibri" w:hAnsi="Calibri"/>
        </w:rPr>
        <w:t xml:space="preserve">Course profile</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2600"/>
        <w:gridCol w:w="7336"/>
      </w:tblGrid>
      <w:tr>
        <w:trPr>
          <w:tblHeader/>
        </w:trPr>
        <w:tc>
          <w:tcPr>
            <w:tcW w:type="dxa" w:w="2600"/>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Item</w:t>
            </w:r>
          </w:p>
        </w:tc>
        <w:tc>
          <w:tcPr>
            <w:tcW w:type="dxa" w:w="7336"/>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Structure</w:t>
            </w:r>
          </w:p>
        </w:tc>
      </w:tr>
      <w:tr>
        <w:trPr>
          <w:cantSplit/>
        </w:trPr>
        <w:tc>
          <w:tcPr>
            <w:tcW w:type="dxa" w:w="26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Audience</w:t>
            </w:r>
          </w:p>
        </w:tc>
        <w:tc>
          <w:tcPr>
            <w:tcW w:type="dxa" w:w="73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IT students, fresh graduates, manual testers moving to automation and junior developers</w:t>
            </w:r>
          </w:p>
        </w:tc>
      </w:tr>
      <w:tr>
        <w:trPr>
          <w:cantSplit/>
        </w:trPr>
        <w:tc>
          <w:tcPr>
            <w:tcW w:type="dxa" w:w="26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Level</w:t>
            </w:r>
          </w:p>
        </w:tc>
        <w:tc>
          <w:tcPr>
            <w:tcW w:type="dxa" w:w="73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Beginner to job-ready junior QA automation engineer</w:t>
            </w:r>
          </w:p>
        </w:tc>
      </w:tr>
      <w:tr>
        <w:trPr>
          <w:cantSplit/>
        </w:trPr>
        <w:tc>
          <w:tcPr>
            <w:tcW w:type="dxa" w:w="26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Start date</w:t>
            </w:r>
          </w:p>
        </w:tc>
        <w:tc>
          <w:tcPr>
            <w:tcW w:type="dxa" w:w="73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22 October 2026</w:t>
            </w:r>
          </w:p>
        </w:tc>
      </w:tr>
      <w:tr>
        <w:trPr>
          <w:cantSplit/>
        </w:trPr>
        <w:tc>
          <w:tcPr>
            <w:tcW w:type="dxa" w:w="26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Duration</w:t>
            </w:r>
          </w:p>
        </w:tc>
        <w:tc>
          <w:tcPr>
            <w:tcW w:type="dxa" w:w="73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86 hours over 29 live sessions in 15 weeks</w:t>
            </w:r>
          </w:p>
        </w:tc>
      </w:tr>
      <w:tr>
        <w:trPr>
          <w:cantSplit/>
        </w:trPr>
        <w:tc>
          <w:tcPr>
            <w:tcW w:type="dxa" w:w="26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Schedule</w:t>
            </w:r>
          </w:p>
        </w:tc>
        <w:tc>
          <w:tcPr>
            <w:tcW w:type="dxa" w:w="73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Thursdays and Saturdays, 6:00–9:00 PM Jordan time (3 hours per session); the final session runs 6:00–8:00 PM</w:t>
            </w:r>
          </w:p>
        </w:tc>
      </w:tr>
      <w:tr>
        <w:trPr>
          <w:cantSplit/>
        </w:trPr>
        <w:tc>
          <w:tcPr>
            <w:tcW w:type="dxa" w:w="26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Teaching approach</w:t>
            </w:r>
          </w:p>
        </w:tc>
        <w:tc>
          <w:tcPr>
            <w:tcW w:type="dxa" w:w="73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28 hours of instruction and live demonstrations plus 58 hours of guided practice (67% hands-on)</w:t>
            </w:r>
          </w:p>
        </w:tc>
      </w:tr>
      <w:tr>
        <w:trPr>
          <w:cantSplit/>
        </w:trPr>
        <w:tc>
          <w:tcPr>
            <w:tcW w:type="dxa" w:w="26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Format</w:t>
            </w:r>
          </w:p>
        </w:tc>
        <w:tc>
          <w:tcPr>
            <w:tcW w:type="dxa" w:w="73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Live online on Zoom: instructor-led sessions with hands-on labs on a shared training application</w:t>
            </w:r>
          </w:p>
        </w:tc>
      </w:tr>
      <w:tr>
        <w:trPr>
          <w:cantSplit/>
        </w:trPr>
        <w:tc>
          <w:tcPr>
            <w:tcW w:type="dxa" w:w="26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Fee</w:t>
            </w:r>
          </w:p>
        </w:tc>
        <w:tc>
          <w:tcPr>
            <w:tcW w:type="dxa" w:w="73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130 JD</w:t>
            </w:r>
          </w:p>
        </w:tc>
      </w:tr>
      <w:tr>
        <w:trPr>
          <w:cantSplit/>
        </w:trPr>
        <w:tc>
          <w:tcPr>
            <w:tcW w:type="dxa" w:w="26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Delivery language</w:t>
            </w:r>
          </w:p>
        </w:tc>
        <w:tc>
          <w:tcPr>
            <w:tcW w:type="dxa" w:w="73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English syllabus and materials; instruction can be adapted to the cohort</w:t>
            </w:r>
          </w:p>
        </w:tc>
      </w:tr>
    </w:tbl>
    <w:p>
      <w:pPr>
        <w:pStyle w:val="Heading1"/>
        <w:spacing w:after="120" w:before="320"/>
      </w:pPr>
      <w:r>
        <w:rPr>
          <w:rFonts w:ascii="Calibri" w:cs="Calibri" w:eastAsia="Calibri" w:hAnsi="Calibri"/>
        </w:rPr>
        <w:t xml:space="preserve">Course design at a glance</w:t>
      </w:r>
    </w:p>
    <w:p>
      <w:pPr>
        <w:spacing w:after="120" w:line="276"/>
      </w:pPr>
      <w:r>
        <w:rPr>
          <w:rFonts w:ascii="Calibri" w:cs="Calibri" w:eastAsia="Calibri" w:hAnsi="Calibri"/>
          <w:sz w:val="21"/>
          <w:szCs w:val="21"/>
        </w:rPr>
        <w:t xml:space="preserve">The course is built around nine quality criteria; each is designed into the modules and assessed through evidence, not attendance.</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2700"/>
        <w:gridCol w:w="7236"/>
      </w:tblGrid>
      <w:tr>
        <w:trPr>
          <w:tblHeader/>
        </w:trPr>
        <w:tc>
          <w:tcPr>
            <w:tcW w:type="dxa" w:w="2700"/>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Criterion</w:t>
            </w:r>
          </w:p>
        </w:tc>
        <w:tc>
          <w:tcPr>
            <w:tcW w:type="dxa" w:w="7236"/>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How this course meets it</w:t>
            </w:r>
          </w:p>
        </w:tc>
      </w:tr>
      <w:tr>
        <w:trPr>
          <w:cantSplit/>
        </w:trPr>
        <w:tc>
          <w:tcPr>
            <w:tcW w:type="dxa" w:w="27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Complete path</w:t>
            </w:r>
          </w:p>
        </w:tc>
        <w:tc>
          <w:tcPr>
            <w:tcW w:type="dxa" w:w="7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Manual testing, automation, API, visual and accessibility testing, AI-assisted testing, Docker, CI/CD and n8n orchestration in one course</w:t>
            </w:r>
          </w:p>
        </w:tc>
      </w:tr>
      <w:tr>
        <w:trPr>
          <w:cantSplit/>
        </w:trPr>
        <w:tc>
          <w:tcPr>
            <w:tcW w:type="dxa" w:w="27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Hands-on depth</w:t>
            </w:r>
          </w:p>
        </w:tc>
        <w:tc>
          <w:tcPr>
            <w:tcW w:type="dxa" w:w="7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58 of 86 hours (67%) are guided practice on a realistic training application</w:t>
            </w:r>
          </w:p>
        </w:tc>
      </w:tr>
      <w:tr>
        <w:trPr>
          <w:cantSplit/>
        </w:trPr>
        <w:tc>
          <w:tcPr>
            <w:tcW w:type="dxa" w:w="27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Measurable evidence</w:t>
            </w:r>
          </w:p>
        </w:tc>
        <w:tc>
          <w:tcPr>
            <w:tcW w:type="dxa" w:w="7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Every module ends with a graded deliverable and four modules end with a checkpoint</w:t>
            </w:r>
          </w:p>
        </w:tc>
      </w:tr>
      <w:tr>
        <w:trPr>
          <w:cantSplit/>
        </w:trPr>
        <w:tc>
          <w:tcPr>
            <w:tcW w:type="dxa" w:w="27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Standards alignment</w:t>
            </w:r>
          </w:p>
        </w:tc>
        <w:tc>
          <w:tcPr>
            <w:tcW w:type="dxa" w:w="7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Manual testing content is mapped to the ISTQB Certified Tester Foundation Level (CTFL) v4.0 syllabus</w:t>
            </w:r>
          </w:p>
        </w:tc>
      </w:tr>
      <w:tr>
        <w:trPr>
          <w:cantSplit/>
        </w:trPr>
        <w:tc>
          <w:tcPr>
            <w:tcW w:type="dxa" w:w="27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Current tooling</w:t>
            </w:r>
          </w:p>
        </w:tc>
        <w:tc>
          <w:tcPr>
            <w:tcW w:type="dxa" w:w="7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Playwright with TypeScript, GitHub Actions, Docker, n8n, AI coding assistants and Playwright MCP</w:t>
            </w:r>
          </w:p>
        </w:tc>
      </w:tr>
      <w:tr>
        <w:trPr>
          <w:cantSplit/>
        </w:trPr>
        <w:tc>
          <w:tcPr>
            <w:tcW w:type="dxa" w:w="27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Reliability focus</w:t>
            </w:r>
          </w:p>
        </w:tc>
        <w:tc>
          <w:tcPr>
            <w:tcW w:type="dxa" w:w="7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Test isolation, flaky-test diagnosis and a requirement of three consecutive clean runs without retries</w:t>
            </w:r>
          </w:p>
        </w:tc>
      </w:tr>
      <w:tr>
        <w:trPr>
          <w:cantSplit/>
        </w:trPr>
        <w:tc>
          <w:tcPr>
            <w:tcW w:type="dxa" w:w="27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Responsible AI</w:t>
            </w:r>
          </w:p>
        </w:tc>
        <w:tc>
          <w:tcPr>
            <w:tcW w:type="dxa" w:w="7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AI is taught as an assistant: prompting, verification, privacy and its limits are covered and assessed</w:t>
            </w:r>
          </w:p>
        </w:tc>
      </w:tr>
      <w:tr>
        <w:trPr>
          <w:cantSplit/>
        </w:trPr>
        <w:tc>
          <w:tcPr>
            <w:tcW w:type="dxa" w:w="27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Portfolio outcome</w:t>
            </w:r>
          </w:p>
        </w:tc>
        <w:tc>
          <w:tcPr>
            <w:tcW w:type="dxa" w:w="7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A public GitHub repository with a CI badge, Docker setup, n8n workflow, reports and README</w:t>
            </w:r>
          </w:p>
        </w:tc>
      </w:tr>
      <w:tr>
        <w:trPr>
          <w:cantSplit/>
        </w:trPr>
        <w:tc>
          <w:tcPr>
            <w:tcW w:type="dxa" w:w="27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Career readiness</w:t>
            </w:r>
          </w:p>
        </w:tc>
        <w:tc>
          <w:tcPr>
            <w:tcW w:type="dxa" w:w="7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CV and LinkedIn review, portfolio presentation, interview questions and a live demo</w:t>
            </w:r>
          </w:p>
        </w:tc>
      </w:tr>
    </w:tbl>
    <w:p>
      <w:pPr>
        <w:pStyle w:val="Heading1"/>
        <w:spacing w:after="120" w:before="320"/>
      </w:pPr>
      <w:r>
        <w:rPr>
          <w:rFonts w:ascii="Calibri" w:cs="Calibri" w:eastAsia="Calibri" w:hAnsi="Calibri"/>
        </w:rPr>
        <w:t xml:space="preserve">Entry requirements</w:t>
      </w:r>
    </w:p>
    <w:p>
      <w:pPr>
        <w:spacing w:after="120" w:line="276"/>
      </w:pPr>
      <w:r>
        <w:rPr>
          <w:rFonts w:ascii="Calibri" w:cs="Calibri" w:eastAsia="Calibri" w:hAnsi="Calibri"/>
          <w:sz w:val="21"/>
          <w:szCs w:val="21"/>
        </w:rPr>
        <w:t xml:space="preserve">Learners should be comfortable using a computer, installing software and navigating websites. No previous testing or automation experience is required. Basic programming familiarity helps; the essential JavaScript and TypeScript concepts are taught in Module 2. Learners need a laptop with at least 8 GB of RAM (16 GB recommended for Docker) and a free GitHub account.</w:t>
      </w:r>
    </w:p>
    <w:p>
      <w:pPr>
        <w:pStyle w:val="Heading1"/>
        <w:spacing w:after="120" w:before="320"/>
      </w:pPr>
      <w:r>
        <w:rPr>
          <w:rFonts w:ascii="Calibri" w:cs="Calibri" w:eastAsia="Calibri" w:hAnsi="Calibri"/>
        </w:rPr>
        <w:t xml:space="preserve">Learning outcomes</w:t>
      </w:r>
    </w:p>
    <w:p>
      <w:pPr>
        <w:spacing w:after="120" w:line="276"/>
      </w:pPr>
      <w:r>
        <w:rPr>
          <w:rFonts w:ascii="Calibri" w:cs="Calibri" w:eastAsia="Calibri" w:hAnsi="Calibri"/>
          <w:sz w:val="21"/>
          <w:szCs w:val="21"/>
        </w:rPr>
        <w:t xml:space="preserve">By the end of the course, learners will be able to:</w:t>
      </w:r>
    </w:p>
    <w:p>
      <w:pPr>
        <w:pStyle w:val="ListParagraph"/>
        <w:numPr>
          <w:ilvl w:val="0"/>
          <w:numId w:val="2"/>
        </w:numPr>
        <w:spacing w:after="60"/>
      </w:pPr>
      <w:r>
        <w:rPr>
          <w:rFonts w:ascii="Calibri" w:cs="Calibri" w:eastAsia="Calibri" w:hAnsi="Calibri"/>
          <w:sz w:val="21"/>
          <w:szCs w:val="21"/>
        </w:rPr>
        <w:t xml:space="preserve">Analyze requirements and apply equivalence partitioning, boundary values, decision tables and state transition testing to produce traceable test cases.</w:t>
      </w:r>
    </w:p>
    <w:p>
      <w:pPr>
        <w:pStyle w:val="ListParagraph"/>
        <w:numPr>
          <w:ilvl w:val="0"/>
          <w:numId w:val="2"/>
        </w:numPr>
        <w:spacing w:after="60"/>
      </w:pPr>
      <w:r>
        <w:rPr>
          <w:rFonts w:ascii="Calibri" w:cs="Calibri" w:eastAsia="Calibri" w:hAnsi="Calibri"/>
          <w:sz w:val="21"/>
          <w:szCs w:val="21"/>
        </w:rPr>
        <w:t xml:space="preserve">Plan risk-based testing and write reproducible defect reports with clear evidence.</w:t>
      </w:r>
    </w:p>
    <w:p>
      <w:pPr>
        <w:pStyle w:val="ListParagraph"/>
        <w:numPr>
          <w:ilvl w:val="0"/>
          <w:numId w:val="2"/>
        </w:numPr>
        <w:spacing w:after="60"/>
      </w:pPr>
      <w:r>
        <w:rPr>
          <w:rFonts w:ascii="Calibri" w:cs="Calibri" w:eastAsia="Calibri" w:hAnsi="Calibri"/>
          <w:sz w:val="21"/>
          <w:szCs w:val="21"/>
        </w:rPr>
        <w:t xml:space="preserve">Test web interfaces and REST APIs manually using Chrome DevTools and Postman.</w:t>
      </w:r>
    </w:p>
    <w:p>
      <w:pPr>
        <w:pStyle w:val="ListParagraph"/>
        <w:numPr>
          <w:ilvl w:val="0"/>
          <w:numId w:val="2"/>
        </w:numPr>
        <w:spacing w:after="60"/>
      </w:pPr>
      <w:r>
        <w:rPr>
          <w:rFonts w:ascii="Calibri" w:cs="Calibri" w:eastAsia="Calibri" w:hAnsi="Calibri"/>
          <w:sz w:val="21"/>
          <w:szCs w:val="21"/>
        </w:rPr>
        <w:t xml:space="preserve">Write readable TypeScript and manage an automation project with Git and GitHub.</w:t>
      </w:r>
    </w:p>
    <w:p>
      <w:pPr>
        <w:pStyle w:val="ListParagraph"/>
        <w:numPr>
          <w:ilvl w:val="0"/>
          <w:numId w:val="2"/>
        </w:numPr>
        <w:spacing w:after="60"/>
      </w:pPr>
      <w:r>
        <w:rPr>
          <w:rFonts w:ascii="Calibri" w:cs="Calibri" w:eastAsia="Calibri" w:hAnsi="Calibri"/>
          <w:sz w:val="21"/>
          <w:szCs w:val="21"/>
        </w:rPr>
        <w:t xml:space="preserve">Build maintainable Playwright browser tests using page objects and fixtures.</w:t>
      </w:r>
    </w:p>
    <w:p>
      <w:pPr>
        <w:pStyle w:val="ListParagraph"/>
        <w:numPr>
          <w:ilvl w:val="0"/>
          <w:numId w:val="2"/>
        </w:numPr>
        <w:spacing w:after="60"/>
      </w:pPr>
      <w:r>
        <w:rPr>
          <w:rFonts w:ascii="Calibri" w:cs="Calibri" w:eastAsia="Calibri" w:hAnsi="Calibri"/>
          <w:sz w:val="21"/>
          <w:szCs w:val="21"/>
        </w:rPr>
        <w:t xml:space="preserve">Automate API, visual regression and accessibility checks with Playwright.</w:t>
      </w:r>
    </w:p>
    <w:p>
      <w:pPr>
        <w:pStyle w:val="ListParagraph"/>
        <w:numPr>
          <w:ilvl w:val="0"/>
          <w:numId w:val="2"/>
        </w:numPr>
        <w:spacing w:after="60"/>
      </w:pPr>
      <w:r>
        <w:rPr>
          <w:rFonts w:ascii="Calibri" w:cs="Calibri" w:eastAsia="Calibri" w:hAnsi="Calibri"/>
          <w:sz w:val="21"/>
          <w:szCs w:val="21"/>
        </w:rPr>
        <w:t xml:space="preserve">Diagnose failures and flaky tests using traces, reports, screenshots and logs.</w:t>
      </w:r>
    </w:p>
    <w:p>
      <w:pPr>
        <w:pStyle w:val="ListParagraph"/>
        <w:numPr>
          <w:ilvl w:val="0"/>
          <w:numId w:val="2"/>
        </w:numPr>
        <w:spacing w:after="60"/>
      </w:pPr>
      <w:r>
        <w:rPr>
          <w:rFonts w:ascii="Calibri" w:cs="Calibri" w:eastAsia="Calibri" w:hAnsi="Calibri"/>
          <w:sz w:val="21"/>
          <w:szCs w:val="21"/>
        </w:rPr>
        <w:t xml:space="preserve">Use AI tools to speed up test design, test data and test code, and verify their output critically.</w:t>
      </w:r>
    </w:p>
    <w:p>
      <w:pPr>
        <w:pStyle w:val="ListParagraph"/>
        <w:numPr>
          <w:ilvl w:val="0"/>
          <w:numId w:val="2"/>
        </w:numPr>
        <w:spacing w:after="60"/>
      </w:pPr>
      <w:r>
        <w:rPr>
          <w:rFonts w:ascii="Calibri" w:cs="Calibri" w:eastAsia="Calibri" w:hAnsi="Calibri"/>
          <w:sz w:val="21"/>
          <w:szCs w:val="21"/>
        </w:rPr>
        <w:t xml:space="preserve">Run tests reproducibly in Docker and continuously in a GitHub Actions pipeline.</w:t>
      </w:r>
    </w:p>
    <w:p>
      <w:pPr>
        <w:pStyle w:val="ListParagraph"/>
        <w:numPr>
          <w:ilvl w:val="0"/>
          <w:numId w:val="2"/>
        </w:numPr>
        <w:spacing w:after="60"/>
      </w:pPr>
      <w:r>
        <w:rPr>
          <w:rFonts w:ascii="Calibri" w:cs="Calibri" w:eastAsia="Calibri" w:hAnsi="Calibri"/>
          <w:sz w:val="21"/>
          <w:szCs w:val="21"/>
        </w:rPr>
        <w:t xml:space="preserve">Build n8n workflows that trigger test runs, triage failures with AI and notify stakeholders.</w:t>
      </w:r>
    </w:p>
    <w:p>
      <w:pPr>
        <w:pStyle w:val="ListParagraph"/>
        <w:numPr>
          <w:ilvl w:val="0"/>
          <w:numId w:val="2"/>
        </w:numPr>
        <w:spacing w:after="60"/>
      </w:pPr>
      <w:r>
        <w:rPr>
          <w:rFonts w:ascii="Calibri" w:cs="Calibri" w:eastAsia="Calibri" w:hAnsi="Calibri"/>
          <w:sz w:val="21"/>
          <w:szCs w:val="21"/>
        </w:rPr>
        <w:t xml:space="preserve">Present an integrated QA portfolio project and explain design decisions in an interview.</w:t>
      </w:r>
    </w:p>
    <w:p>
      <w:r>
        <w:br w:type="page"/>
      </w:r>
    </w:p>
    <w:p>
      <w:pPr>
        <w:pStyle w:val="Heading1"/>
        <w:spacing w:after="120" w:before="320"/>
      </w:pPr>
      <w:r>
        <w:rPr>
          <w:rFonts w:ascii="Calibri" w:cs="Calibri" w:eastAsia="Calibri" w:hAnsi="Calibri"/>
        </w:rPr>
        <w:t xml:space="preserve">Module plan and training hours</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900"/>
        <w:gridCol w:w="4236"/>
        <w:gridCol w:w="1200"/>
        <w:gridCol w:w="1100"/>
        <w:gridCol w:w="1250"/>
        <w:gridCol w:w="1250"/>
      </w:tblGrid>
      <w:tr>
        <w:trPr>
          <w:tblHeader/>
        </w:trPr>
        <w:tc>
          <w:tcPr>
            <w:tcW w:type="dxa" w:w="900"/>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Module</w:t>
            </w:r>
          </w:p>
        </w:tc>
        <w:tc>
          <w:tcPr>
            <w:tcW w:type="dxa" w:w="4236"/>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Focus</w:t>
            </w:r>
          </w:p>
        </w:tc>
        <w:tc>
          <w:tcPr>
            <w:tcW w:type="dxa" w:w="1200"/>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Sessions</w:t>
            </w:r>
          </w:p>
        </w:tc>
        <w:tc>
          <w:tcPr>
            <w:tcW w:type="dxa" w:w="1100"/>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Hours</w:t>
            </w:r>
          </w:p>
        </w:tc>
        <w:tc>
          <w:tcPr>
            <w:tcW w:type="dxa" w:w="1250"/>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Instruction</w:t>
            </w:r>
          </w:p>
        </w:tc>
        <w:tc>
          <w:tcPr>
            <w:tcW w:type="dxa" w:w="1250"/>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Practice</w:t>
            </w:r>
          </w:p>
        </w:tc>
      </w:tr>
      <w:tr>
        <w:trPr>
          <w:cantSplit/>
        </w:trPr>
        <w:tc>
          <w:tcPr>
            <w:tcW w:type="dxa" w:w="9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1</w:t>
            </w:r>
          </w:p>
        </w:tc>
        <w:tc>
          <w:tcPr>
            <w:tcW w:type="dxa" w:w="4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QA foundations and manual testing</w:t>
            </w:r>
          </w:p>
        </w:tc>
        <w:tc>
          <w:tcPr>
            <w:tcW w:type="dxa" w:w="1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1–5</w:t>
            </w:r>
          </w:p>
        </w:tc>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15</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6</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9</w:t>
            </w:r>
          </w:p>
        </w:tc>
      </w:tr>
      <w:tr>
        <w:trPr>
          <w:cantSplit/>
        </w:trPr>
        <w:tc>
          <w:tcPr>
            <w:tcW w:type="dxa" w:w="9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2</w:t>
            </w:r>
          </w:p>
        </w:tc>
        <w:tc>
          <w:tcPr>
            <w:tcW w:type="dxa" w:w="4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JavaScript, TypeScript and Git essentials</w:t>
            </w:r>
          </w:p>
        </w:tc>
        <w:tc>
          <w:tcPr>
            <w:tcW w:type="dxa" w:w="1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6–8</w:t>
            </w:r>
          </w:p>
        </w:tc>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9</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3</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6</w:t>
            </w:r>
          </w:p>
        </w:tc>
      </w:tr>
      <w:tr>
        <w:trPr>
          <w:cantSplit/>
        </w:trPr>
        <w:tc>
          <w:tcPr>
            <w:tcW w:type="dxa" w:w="9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3</w:t>
            </w:r>
          </w:p>
        </w:tc>
        <w:tc>
          <w:tcPr>
            <w:tcW w:type="dxa" w:w="4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Playwright foundations and browser testing</w:t>
            </w:r>
          </w:p>
        </w:tc>
        <w:tc>
          <w:tcPr>
            <w:tcW w:type="dxa" w:w="1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9–12</w:t>
            </w:r>
          </w:p>
        </w:tc>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12</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4</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8</w:t>
            </w:r>
          </w:p>
        </w:tc>
      </w:tr>
      <w:tr>
        <w:trPr>
          <w:cantSplit/>
        </w:trPr>
        <w:tc>
          <w:tcPr>
            <w:tcW w:type="dxa" w:w="9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4</w:t>
            </w:r>
          </w:p>
        </w:tc>
        <w:tc>
          <w:tcPr>
            <w:tcW w:type="dxa" w:w="4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Reliable tests and framework design</w:t>
            </w:r>
          </w:p>
        </w:tc>
        <w:tc>
          <w:tcPr>
            <w:tcW w:type="dxa" w:w="1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13–15</w:t>
            </w:r>
          </w:p>
        </w:tc>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9</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3</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6</w:t>
            </w:r>
          </w:p>
        </w:tc>
      </w:tr>
      <w:tr>
        <w:trPr>
          <w:cantSplit/>
        </w:trPr>
        <w:tc>
          <w:tcPr>
            <w:tcW w:type="dxa" w:w="9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5</w:t>
            </w:r>
          </w:p>
        </w:tc>
        <w:tc>
          <w:tcPr>
            <w:tcW w:type="dxa" w:w="4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API, visual and accessibility automation</w:t>
            </w:r>
          </w:p>
        </w:tc>
        <w:tc>
          <w:tcPr>
            <w:tcW w:type="dxa" w:w="1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16–18</w:t>
            </w:r>
          </w:p>
        </w:tc>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9</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3</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6</w:t>
            </w:r>
          </w:p>
        </w:tc>
      </w:tr>
      <w:tr>
        <w:trPr>
          <w:cantSplit/>
        </w:trPr>
        <w:tc>
          <w:tcPr>
            <w:tcW w:type="dxa" w:w="9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6</w:t>
            </w:r>
          </w:p>
        </w:tc>
        <w:tc>
          <w:tcPr>
            <w:tcW w:type="dxa" w:w="4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AI-assisted testing</w:t>
            </w:r>
          </w:p>
        </w:tc>
        <w:tc>
          <w:tcPr>
            <w:tcW w:type="dxa" w:w="1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19–20</w:t>
            </w:r>
          </w:p>
        </w:tc>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6</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2</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4</w:t>
            </w:r>
          </w:p>
        </w:tc>
      </w:tr>
      <w:tr>
        <w:trPr>
          <w:cantSplit/>
        </w:trPr>
        <w:tc>
          <w:tcPr>
            <w:tcW w:type="dxa" w:w="9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7</w:t>
            </w:r>
          </w:p>
        </w:tc>
        <w:tc>
          <w:tcPr>
            <w:tcW w:type="dxa" w:w="4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Docker and CI/CD for QA</w:t>
            </w:r>
          </w:p>
        </w:tc>
        <w:tc>
          <w:tcPr>
            <w:tcW w:type="dxa" w:w="1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21–23</w:t>
            </w:r>
          </w:p>
        </w:tc>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9</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3</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6</w:t>
            </w:r>
          </w:p>
        </w:tc>
      </w:tr>
      <w:tr>
        <w:trPr>
          <w:cantSplit/>
        </w:trPr>
        <w:tc>
          <w:tcPr>
            <w:tcW w:type="dxa" w:w="9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8</w:t>
            </w:r>
          </w:p>
        </w:tc>
        <w:tc>
          <w:tcPr>
            <w:tcW w:type="dxa" w:w="4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n8n orchestration and AI failure triage</w:t>
            </w:r>
          </w:p>
        </w:tc>
        <w:tc>
          <w:tcPr>
            <w:tcW w:type="dxa" w:w="1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24–26</w:t>
            </w:r>
          </w:p>
        </w:tc>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9</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3</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6</w:t>
            </w:r>
          </w:p>
        </w:tc>
      </w:tr>
      <w:tr>
        <w:trPr>
          <w:cantSplit/>
        </w:trPr>
        <w:tc>
          <w:tcPr>
            <w:tcW w:type="dxa" w:w="9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9</w:t>
            </w:r>
          </w:p>
        </w:tc>
        <w:tc>
          <w:tcPr>
            <w:tcW w:type="dxa" w:w="42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Capstone project and career readiness</w:t>
            </w:r>
          </w:p>
        </w:tc>
        <w:tc>
          <w:tcPr>
            <w:tcW w:type="dxa" w:w="1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27–29</w:t>
            </w:r>
          </w:p>
        </w:tc>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8</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1</w:t>
            </w:r>
          </w:p>
        </w:tc>
        <w:tc>
          <w:tcPr>
            <w:tcW w:type="dxa" w:w="125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7</w:t>
            </w:r>
          </w:p>
        </w:tc>
      </w:tr>
      <w:tr>
        <w:trPr>
          <w:cantSplit/>
        </w:trPr>
        <w:tc>
          <w:tcPr>
            <w:tcW w:type="dxa" w:w="900"/>
            <w:tcBorders>
              <w:top w:val="single" w:color="C9D1DA" w:sz="4"/>
              <w:left w:val="single" w:color="C9D1DA" w:sz="4"/>
              <w:bottom w:val="single" w:color="C9D1DA" w:sz="4"/>
              <w:right w:val="single" w:color="C9D1DA" w:sz="4"/>
            </w:tcBorders>
            <w:shd w:fill="F4F6F8" w:color="auto" w:val="clear"/>
            <w:tcMar>
              <w:top w:type="dxa" w:w="70"/>
              <w:left w:type="dxa" w:w="110"/>
              <w:bottom w:type="dxa" w:w="70"/>
              <w:right w:type="dxa" w:w="110"/>
            </w:tcMar>
          </w:tcPr>
          <w:p>
            <w:r>
              <w:rPr>
                <w:rFonts w:ascii="Calibri" w:cs="Calibri" w:eastAsia="Calibri" w:hAnsi="Calibri"/>
                <w:b/>
                <w:bCs/>
                <w:sz w:val="19"/>
                <w:szCs w:val="19"/>
              </w:rPr>
              <w:t xml:space="preserve"/>
            </w:r>
          </w:p>
        </w:tc>
        <w:tc>
          <w:tcPr>
            <w:tcW w:type="dxa" w:w="4236"/>
            <w:tcBorders>
              <w:top w:val="single" w:color="C9D1DA" w:sz="4"/>
              <w:left w:val="single" w:color="C9D1DA" w:sz="4"/>
              <w:bottom w:val="single" w:color="C9D1DA" w:sz="4"/>
              <w:right w:val="single" w:color="C9D1DA" w:sz="4"/>
            </w:tcBorders>
            <w:shd w:fill="F4F6F8" w:color="auto" w:val="clear"/>
            <w:tcMar>
              <w:top w:type="dxa" w:w="70"/>
              <w:left w:type="dxa" w:w="110"/>
              <w:bottom w:type="dxa" w:w="70"/>
              <w:right w:type="dxa" w:w="110"/>
            </w:tcMar>
          </w:tcPr>
          <w:p>
            <w:r>
              <w:rPr>
                <w:rFonts w:ascii="Calibri" w:cs="Calibri" w:eastAsia="Calibri" w:hAnsi="Calibri"/>
                <w:b/>
                <w:bCs/>
                <w:sz w:val="19"/>
                <w:szCs w:val="19"/>
              </w:rPr>
              <w:t xml:space="preserve">Total</w:t>
            </w:r>
          </w:p>
        </w:tc>
        <w:tc>
          <w:tcPr>
            <w:tcW w:type="dxa" w:w="1200"/>
            <w:tcBorders>
              <w:top w:val="single" w:color="C9D1DA" w:sz="4"/>
              <w:left w:val="single" w:color="C9D1DA" w:sz="4"/>
              <w:bottom w:val="single" w:color="C9D1DA" w:sz="4"/>
              <w:right w:val="single" w:color="C9D1DA" w:sz="4"/>
            </w:tcBorders>
            <w:shd w:fill="F4F6F8" w:color="auto" w:val="clear"/>
            <w:tcMar>
              <w:top w:type="dxa" w:w="70"/>
              <w:left w:type="dxa" w:w="110"/>
              <w:bottom w:type="dxa" w:w="70"/>
              <w:right w:type="dxa" w:w="110"/>
            </w:tcMar>
          </w:tcPr>
          <w:p>
            <w:r>
              <w:rPr>
                <w:rFonts w:ascii="Calibri" w:cs="Calibri" w:eastAsia="Calibri" w:hAnsi="Calibri"/>
                <w:b/>
                <w:bCs/>
                <w:sz w:val="19"/>
                <w:szCs w:val="19"/>
              </w:rPr>
              <w:t xml:space="preserve">29</w:t>
            </w:r>
          </w:p>
        </w:tc>
        <w:tc>
          <w:tcPr>
            <w:tcW w:type="dxa" w:w="1100"/>
            <w:tcBorders>
              <w:top w:val="single" w:color="C9D1DA" w:sz="4"/>
              <w:left w:val="single" w:color="C9D1DA" w:sz="4"/>
              <w:bottom w:val="single" w:color="C9D1DA" w:sz="4"/>
              <w:right w:val="single" w:color="C9D1DA" w:sz="4"/>
            </w:tcBorders>
            <w:shd w:fill="F4F6F8" w:color="auto" w:val="clear"/>
            <w:tcMar>
              <w:top w:type="dxa" w:w="70"/>
              <w:left w:type="dxa" w:w="110"/>
              <w:bottom w:type="dxa" w:w="70"/>
              <w:right w:type="dxa" w:w="110"/>
            </w:tcMar>
          </w:tcPr>
          <w:p>
            <w:r>
              <w:rPr>
                <w:rFonts w:ascii="Calibri" w:cs="Calibri" w:eastAsia="Calibri" w:hAnsi="Calibri"/>
                <w:b/>
                <w:bCs/>
                <w:sz w:val="19"/>
                <w:szCs w:val="19"/>
              </w:rPr>
              <w:t xml:space="preserve">86</w:t>
            </w:r>
          </w:p>
        </w:tc>
        <w:tc>
          <w:tcPr>
            <w:tcW w:type="dxa" w:w="1250"/>
            <w:tcBorders>
              <w:top w:val="single" w:color="C9D1DA" w:sz="4"/>
              <w:left w:val="single" w:color="C9D1DA" w:sz="4"/>
              <w:bottom w:val="single" w:color="C9D1DA" w:sz="4"/>
              <w:right w:val="single" w:color="C9D1DA" w:sz="4"/>
            </w:tcBorders>
            <w:shd w:fill="F4F6F8" w:color="auto" w:val="clear"/>
            <w:tcMar>
              <w:top w:type="dxa" w:w="70"/>
              <w:left w:type="dxa" w:w="110"/>
              <w:bottom w:type="dxa" w:w="70"/>
              <w:right w:type="dxa" w:w="110"/>
            </w:tcMar>
          </w:tcPr>
          <w:p>
            <w:r>
              <w:rPr>
                <w:rFonts w:ascii="Calibri" w:cs="Calibri" w:eastAsia="Calibri" w:hAnsi="Calibri"/>
                <w:b/>
                <w:bCs/>
                <w:sz w:val="19"/>
                <w:szCs w:val="19"/>
              </w:rPr>
              <w:t xml:space="preserve">28</w:t>
            </w:r>
          </w:p>
        </w:tc>
        <w:tc>
          <w:tcPr>
            <w:tcW w:type="dxa" w:w="1250"/>
            <w:tcBorders>
              <w:top w:val="single" w:color="C9D1DA" w:sz="4"/>
              <w:left w:val="single" w:color="C9D1DA" w:sz="4"/>
              <w:bottom w:val="single" w:color="C9D1DA" w:sz="4"/>
              <w:right w:val="single" w:color="C9D1DA" w:sz="4"/>
            </w:tcBorders>
            <w:shd w:fill="F4F6F8" w:color="auto" w:val="clear"/>
            <w:tcMar>
              <w:top w:type="dxa" w:w="70"/>
              <w:left w:type="dxa" w:w="110"/>
              <w:bottom w:type="dxa" w:w="70"/>
              <w:right w:type="dxa" w:w="110"/>
            </w:tcMar>
          </w:tcPr>
          <w:p>
            <w:r>
              <w:rPr>
                <w:rFonts w:ascii="Calibri" w:cs="Calibri" w:eastAsia="Calibri" w:hAnsi="Calibri"/>
                <w:b/>
                <w:bCs/>
                <w:sz w:val="19"/>
                <w:szCs w:val="19"/>
              </w:rPr>
              <w:t xml:space="preserve">58</w:t>
            </w:r>
          </w:p>
        </w:tc>
      </w:tr>
    </w:tbl>
    <w:p>
      <w:pPr>
        <w:spacing w:after="60"/>
      </w:pPr>
    </w:p>
    <w:p>
      <w:pPr>
        <w:spacing w:after="120" w:line="276"/>
      </w:pPr>
      <w:r>
        <w:rPr>
          <w:rFonts w:ascii="Calibri" w:cs="Calibri" w:eastAsia="Calibri" w:hAnsi="Calibri"/>
          <w:sz w:val="21"/>
          <w:szCs w:val="21"/>
        </w:rPr>
        <w:t xml:space="preserve">Sessions 1–28 run for 3 hours each (84 hours) and session 29 runs for 2 hours, for a total of 86 guided hours. All module hours include their labs and assessments. Revision outside class is additional.</w:t>
      </w:r>
    </w:p>
    <w:p>
      <w:pPr>
        <w:pStyle w:val="Heading1"/>
        <w:spacing w:after="120" w:before="320"/>
      </w:pPr>
      <w:r>
        <w:rPr>
          <w:rFonts w:ascii="Calibri" w:cs="Calibri" w:eastAsia="Calibri" w:hAnsi="Calibri"/>
        </w:rPr>
        <w:t xml:space="preserve">Weekly schedule</w:t>
      </w:r>
    </w:p>
    <w:p>
      <w:pPr>
        <w:spacing w:after="120" w:line="276"/>
      </w:pPr>
      <w:r>
        <w:rPr>
          <w:rFonts w:ascii="Calibri" w:cs="Calibri" w:eastAsia="Calibri" w:hAnsi="Calibri"/>
          <w:sz w:val="21"/>
          <w:szCs w:val="21"/>
        </w:rPr>
        <w:t xml:space="preserve">Two sessions per week, Thursday and Saturday, 6:00–9:00 PM. S = session, M = module.</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1100"/>
        <w:gridCol w:w="4418"/>
        <w:gridCol w:w="4418"/>
      </w:tblGrid>
      <w:tr>
        <w:trPr>
          <w:tblHeader/>
        </w:trPr>
        <w:tc>
          <w:tcPr>
            <w:tcW w:type="dxa" w:w="1100"/>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Week</w:t>
            </w:r>
          </w:p>
        </w:tc>
        <w:tc>
          <w:tcPr>
            <w:tcW w:type="dxa" w:w="4418"/>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First class of the week</w:t>
            </w:r>
          </w:p>
        </w:tc>
        <w:tc>
          <w:tcPr>
            <w:tcW w:type="dxa" w:w="4418"/>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Second class of the week</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1</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S1 (M1): QA fundamentals: testing principles, SDLC and STLC, QA in Agile teams</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S2 (M1): Requirements, static testing and black-box test design techniques</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2</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S3 (M1): Test scenarios, test cases, risk-based test plan and Jira</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S4 (M1): Exploratory testing, defect reporting and Chrome DevTools</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3</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S5 (M1): Manual API testing with Postman, accessibility basics, Module 1 checkpoint</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S6 (M2): TypeScript basics: variables, types, functions, conditions, loops</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4</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S7 (M2): Objects, arrays, interfaces, modules, JSON, async and await</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S8 (M2): Node.js tooling, npm scripts, Git and GitHub workflow</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5</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S9 (M3): Playwright setup, test structure, UI mode and codegen</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S10 (M3): Locators and web-first assertions</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6</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S11 (M3): Forms, dropdowns, dialogs, uploads, frames and multiple tabs</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S12 (M3): Debugging with Trace Viewer, screenshots and video; Module 3 checkpoint</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7</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S13 (M4): Page Object Model and reusable helpers</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S14 (M4): Fixtures, hooks, authentication state and test-data isolation</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8</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S15 (M4): Tags, projects, parallel workers, retries and flaky-test diagnosis</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S16 (M5): API testing with request context, authentication and schema checks</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9</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S17 (M5): Combined API and UI tests, network mocking and interception</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S18 (M5): Visual regression and automated accessibility scans; Module 5 checkpoint</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10</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S19 (M6): AI for test design and test data: prompt patterns and verification</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S20 (M6): AI coding assistants, Playwright MCP and test agents; limits and privacy</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11</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S21 (M7): Docker essentials: running Playwright in the official image</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S22 (M7): Dockerfile, environment config, report volumes and Docker Compose</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12</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S23 (M7): CI/CD with GitHub Actions: pipeline, artifacts, sharding and secrets</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S24 (M8): n8n fundamentals: self-hosting, triggers, HTTP requests, JSON mapping</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13</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S25 (M8): Orchestrating test runs: trigger, poll, branch on result, notify, error workflow</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S26 (M8): AI failure triage, bug-report drafting and results logging; Module 8 checkpoint</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14</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S27 (M9): Capstone build and peer code review</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S28 (M9): Capstone completion; CV, LinkedIn and interview preparation</w:t>
            </w:r>
          </w:p>
        </w:tc>
      </w:tr>
      <w:tr>
        <w:trPr>
          <w:cantSplit/>
        </w:trPr>
        <w:tc>
          <w:tcPr>
            <w:tcW w:type="dxa" w:w="11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Week 15</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S29 (M9): Capstone demonstrations and graduation (2 hours, 6:00–8:00 PM)</w:t>
            </w:r>
          </w:p>
        </w:tc>
        <w:tc>
          <w:tcPr>
            <w:tcW w:type="dxa" w:w="4418"/>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w:t>
            </w:r>
          </w:p>
        </w:tc>
      </w:tr>
    </w:tbl>
    <w:p>
      <w:pPr>
        <w:pStyle w:val="Heading1"/>
        <w:spacing w:after="120" w:before="320"/>
      </w:pPr>
      <w:r>
        <w:rPr>
          <w:rFonts w:ascii="Calibri" w:cs="Calibri" w:eastAsia="Calibri" w:hAnsi="Calibri"/>
        </w:rPr>
        <w:t xml:space="preserve">Detailed curriculum</w:t>
      </w:r>
    </w:p>
    <w:p>
      <w:pPr>
        <w:pStyle w:val="Heading2"/>
        <w:spacing w:after="80" w:before="240"/>
      </w:pPr>
      <w:r>
        <w:rPr>
          <w:rFonts w:ascii="Calibri" w:cs="Calibri" w:eastAsia="Calibri" w:hAnsi="Calibri"/>
        </w:rPr>
        <w:t xml:space="preserve">Module 1: QA foundations and manual testing (15 hours, sessions 1–5)</w:t>
      </w:r>
    </w:p>
    <w:p>
      <w:pPr>
        <w:spacing w:after="120" w:line="276"/>
      </w:pPr>
      <w:r>
        <w:rPr>
          <w:rFonts w:ascii="Calibri" w:cs="Calibri" w:eastAsia="Calibri" w:hAnsi="Calibri"/>
          <w:b/>
          <w:bCs/>
          <w:sz w:val="21"/>
          <w:szCs w:val="21"/>
        </w:rPr>
        <w:t xml:space="preserve">Topics: </w:t>
      </w:r>
      <w:r>
        <w:rPr>
          <w:rFonts w:ascii="Calibri" w:cs="Calibri" w:eastAsia="Calibri" w:hAnsi="Calibri"/>
          <w:sz w:val="21"/>
          <w:szCs w:val="21"/>
        </w:rPr>
        <w:t xml:space="preserve">Why testing matters and the seven testing principles; SDLC and STLC; QA roles in Agile and Scrum; test levels and test types; static testing and requirement reviews; user stories and acceptance criteria; equivalence partitioning, boundary value analysis, decision tables and state transition testing; exploratory and experience-based testing; risk-based test planning and traceability; defect life cycle, severity and priority; Jira; Chrome DevTools (elements, console, network); manual REST API testing with Postman; accessibility and responsive-design basics.</w:t>
      </w:r>
    </w:p>
    <w:p>
      <w:pPr>
        <w:spacing w:after="120" w:line="276"/>
      </w:pPr>
      <w:r>
        <w:rPr>
          <w:rFonts w:ascii="Calibri" w:cs="Calibri" w:eastAsia="Calibri" w:hAnsi="Calibri"/>
          <w:b/>
          <w:bCs/>
          <w:sz w:val="21"/>
          <w:szCs w:val="21"/>
        </w:rPr>
        <w:t xml:space="preserve">Practical lab: </w:t>
      </w:r>
      <w:r>
        <w:rPr>
          <w:rFonts w:ascii="Calibri" w:cs="Calibri" w:eastAsia="Calibri" w:hAnsi="Calibri"/>
          <w:sz w:val="21"/>
          <w:szCs w:val="21"/>
        </w:rPr>
        <w:t xml:space="preserve">Review the requirements of the training application, find ambiguities, design test cases with each technique, run an exploratory session, log defects in Jira and build a Postman collection.</w:t>
      </w:r>
    </w:p>
    <w:p>
      <w:pPr>
        <w:spacing w:after="120" w:line="276"/>
      </w:pPr>
      <w:r>
        <w:rPr>
          <w:rFonts w:ascii="Calibri" w:cs="Calibri" w:eastAsia="Calibri" w:hAnsi="Calibri"/>
          <w:b/>
          <w:bCs/>
          <w:sz w:val="21"/>
          <w:szCs w:val="21"/>
        </w:rPr>
        <w:t xml:space="preserve">Evidence of learning: </w:t>
      </w:r>
      <w:r>
        <w:rPr>
          <w:rFonts w:ascii="Calibri" w:cs="Calibri" w:eastAsia="Calibri" w:hAnsi="Calibri"/>
          <w:sz w:val="21"/>
          <w:szCs w:val="21"/>
        </w:rPr>
        <w:t xml:space="preserve">Risk-based test plan, at least 25 traceable test cases, 3 reproducible defect reports with evidence, and a Postman collection.</w:t>
      </w:r>
    </w:p>
    <w:p>
      <w:pPr>
        <w:pStyle w:val="Heading2"/>
        <w:spacing w:after="80" w:before="240"/>
      </w:pPr>
      <w:r>
        <w:rPr>
          <w:rFonts w:ascii="Calibri" w:cs="Calibri" w:eastAsia="Calibri" w:hAnsi="Calibri"/>
        </w:rPr>
        <w:t xml:space="preserve">Module 2: JavaScript, TypeScript and Git essentials (9 hours, sessions 6–8)</w:t>
      </w:r>
    </w:p>
    <w:p>
      <w:pPr>
        <w:spacing w:after="120" w:line="276"/>
      </w:pPr>
      <w:r>
        <w:rPr>
          <w:rFonts w:ascii="Calibri" w:cs="Calibri" w:eastAsia="Calibri" w:hAnsi="Calibri"/>
          <w:b/>
          <w:bCs/>
          <w:sz w:val="21"/>
          <w:szCs w:val="21"/>
        </w:rPr>
        <w:t xml:space="preserve">Topics: </w:t>
      </w:r>
      <w:r>
        <w:rPr>
          <w:rFonts w:ascii="Calibri" w:cs="Calibri" w:eastAsia="Calibri" w:hAnsi="Calibri"/>
          <w:sz w:val="21"/>
          <w:szCs w:val="21"/>
        </w:rPr>
        <w:t xml:space="preserve">Variables, types, objects, arrays, functions, conditions, loops, modules, interfaces, JSON, promises, async and await, error handling, Node.js and npm scripts, Git commits, branches, pull requests and GitHub.</w:t>
      </w:r>
    </w:p>
    <w:p>
      <w:pPr>
        <w:spacing w:after="120" w:line="276"/>
      </w:pPr>
      <w:r>
        <w:rPr>
          <w:rFonts w:ascii="Calibri" w:cs="Calibri" w:eastAsia="Calibri" w:hAnsi="Calibri"/>
          <w:b/>
          <w:bCs/>
          <w:sz w:val="21"/>
          <w:szCs w:val="21"/>
        </w:rPr>
        <w:t xml:space="preserve">Practical lab: </w:t>
      </w:r>
      <w:r>
        <w:rPr>
          <w:rFonts w:ascii="Calibri" w:cs="Calibri" w:eastAsia="Calibri" w:hAnsi="Calibri"/>
          <w:sz w:val="21"/>
          <w:szCs w:val="21"/>
        </w:rPr>
        <w:t xml:space="preserve">Write typed test-data helpers, read JSON data, handle asynchronous operations and submit the work through a GitHub pull request.</w:t>
      </w:r>
    </w:p>
    <w:p>
      <w:pPr>
        <w:spacing w:after="120" w:line="276"/>
      </w:pPr>
      <w:r>
        <w:rPr>
          <w:rFonts w:ascii="Calibri" w:cs="Calibri" w:eastAsia="Calibri" w:hAnsi="Calibri"/>
          <w:b/>
          <w:bCs/>
          <w:sz w:val="21"/>
          <w:szCs w:val="21"/>
        </w:rPr>
        <w:t xml:space="preserve">Evidence of learning: </w:t>
      </w:r>
      <w:r>
        <w:rPr>
          <w:rFonts w:ascii="Calibri" w:cs="Calibri" w:eastAsia="Calibri" w:hAnsi="Calibri"/>
          <w:sz w:val="21"/>
          <w:szCs w:val="21"/>
        </w:rPr>
        <w:t xml:space="preserve">A versioned TypeScript exercise with meaningful commits and working npm scripts.</w:t>
      </w:r>
    </w:p>
    <w:p>
      <w:pPr>
        <w:pStyle w:val="Heading2"/>
        <w:spacing w:after="80" w:before="240"/>
      </w:pPr>
      <w:r>
        <w:rPr>
          <w:rFonts w:ascii="Calibri" w:cs="Calibri" w:eastAsia="Calibri" w:hAnsi="Calibri"/>
        </w:rPr>
        <w:t xml:space="preserve">Module 3: Playwright foundations and browser testing (12 hours, sessions 9–12)</w:t>
      </w:r>
    </w:p>
    <w:p>
      <w:pPr>
        <w:spacing w:after="120" w:line="276"/>
      </w:pPr>
      <w:r>
        <w:rPr>
          <w:rFonts w:ascii="Calibri" w:cs="Calibri" w:eastAsia="Calibri" w:hAnsi="Calibri"/>
          <w:b/>
          <w:bCs/>
          <w:sz w:val="21"/>
          <w:szCs w:val="21"/>
        </w:rPr>
        <w:t xml:space="preserve">Topics: </w:t>
      </w:r>
      <w:r>
        <w:rPr>
          <w:rFonts w:ascii="Calibri" w:cs="Calibri" w:eastAsia="Calibri" w:hAnsi="Calibri"/>
          <w:sz w:val="21"/>
          <w:szCs w:val="21"/>
        </w:rPr>
        <w:t xml:space="preserve">Project setup and configuration; test structure; browsers, contexts and pages; role, label and test-id locators; web-first assertions and auto-waiting; navigation, forms, dropdowns, dialogs, uploads, frames and multiple tabs; UI mode and codegen; Trace Viewer, screenshots and video; headed and headless execution.</w:t>
      </w:r>
    </w:p>
    <w:p>
      <w:pPr>
        <w:spacing w:after="120" w:line="276"/>
      </w:pPr>
      <w:r>
        <w:rPr>
          <w:rFonts w:ascii="Calibri" w:cs="Calibri" w:eastAsia="Calibri" w:hAnsi="Calibri"/>
          <w:b/>
          <w:bCs/>
          <w:sz w:val="21"/>
          <w:szCs w:val="21"/>
        </w:rPr>
        <w:t xml:space="preserve">Practical lab: </w:t>
      </w:r>
      <w:r>
        <w:rPr>
          <w:rFonts w:ascii="Calibri" w:cs="Calibri" w:eastAsia="Calibri" w:hAnsi="Calibri"/>
          <w:sz w:val="21"/>
          <w:szCs w:val="21"/>
        </w:rPr>
        <w:t xml:space="preserve">Automate login, form validation and the main purchase journey of the training application; inspect and fix a failing run with Trace Viewer.</w:t>
      </w:r>
    </w:p>
    <w:p>
      <w:pPr>
        <w:spacing w:after="120" w:line="276"/>
      </w:pPr>
      <w:r>
        <w:rPr>
          <w:rFonts w:ascii="Calibri" w:cs="Calibri" w:eastAsia="Calibri" w:hAnsi="Calibri"/>
          <w:b/>
          <w:bCs/>
          <w:sz w:val="21"/>
          <w:szCs w:val="21"/>
        </w:rPr>
        <w:t xml:space="preserve">Evidence of learning: </w:t>
      </w:r>
      <w:r>
        <w:rPr>
          <w:rFonts w:ascii="Calibri" w:cs="Calibri" w:eastAsia="Calibri" w:hAnsi="Calibri"/>
          <w:sz w:val="21"/>
          <w:szCs w:val="21"/>
        </w:rPr>
        <w:t xml:space="preserve">A browser test suite with positive and negative scenarios and an HTML report.</w:t>
      </w:r>
    </w:p>
    <w:p>
      <w:pPr>
        <w:pStyle w:val="Heading2"/>
        <w:spacing w:after="80" w:before="240"/>
      </w:pPr>
      <w:r>
        <w:rPr>
          <w:rFonts w:ascii="Calibri" w:cs="Calibri" w:eastAsia="Calibri" w:hAnsi="Calibri"/>
        </w:rPr>
        <w:t xml:space="preserve">Module 4: Reliable tests and framework design (9 hours, sessions 13–15)</w:t>
      </w:r>
    </w:p>
    <w:p>
      <w:pPr>
        <w:spacing w:after="120" w:line="276"/>
      </w:pPr>
      <w:r>
        <w:rPr>
          <w:rFonts w:ascii="Calibri" w:cs="Calibri" w:eastAsia="Calibri" w:hAnsi="Calibri"/>
          <w:b/>
          <w:bCs/>
          <w:sz w:val="21"/>
          <w:szCs w:val="21"/>
        </w:rPr>
        <w:t xml:space="preserve">Topics: </w:t>
      </w:r>
      <w:r>
        <w:rPr>
          <w:rFonts w:ascii="Calibri" w:cs="Calibri" w:eastAsia="Calibri" w:hAnsi="Calibri"/>
          <w:sz w:val="21"/>
          <w:szCs w:val="21"/>
        </w:rPr>
        <w:t xml:space="preserve">Page Object Model; fixtures and hooks; reusable helpers; authentication state; test-data setup and cleanup; test isolation; tags and browser projects; parallel workers; retries; diagnosing and removing flaky tests.</w:t>
      </w:r>
    </w:p>
    <w:p>
      <w:pPr>
        <w:spacing w:after="120" w:line="276"/>
      </w:pPr>
      <w:r>
        <w:rPr>
          <w:rFonts w:ascii="Calibri" w:cs="Calibri" w:eastAsia="Calibri" w:hAnsi="Calibri"/>
          <w:b/>
          <w:bCs/>
          <w:sz w:val="21"/>
          <w:szCs w:val="21"/>
        </w:rPr>
        <w:t xml:space="preserve">Practical lab: </w:t>
      </w:r>
      <w:r>
        <w:rPr>
          <w:rFonts w:ascii="Calibri" w:cs="Calibri" w:eastAsia="Calibri" w:hAnsi="Calibri"/>
          <w:sz w:val="21"/>
          <w:szCs w:val="21"/>
        </w:rPr>
        <w:t xml:space="preserve">Refactor the suite into page objects and fixtures, reuse authentication safely, isolate test data and remove a timing-related failure.</w:t>
      </w:r>
    </w:p>
    <w:p>
      <w:pPr>
        <w:spacing w:after="120" w:line="276"/>
      </w:pPr>
      <w:r>
        <w:rPr>
          <w:rFonts w:ascii="Calibri" w:cs="Calibri" w:eastAsia="Calibri" w:hAnsi="Calibri"/>
          <w:b/>
          <w:bCs/>
          <w:sz w:val="21"/>
          <w:szCs w:val="21"/>
        </w:rPr>
        <w:t xml:space="preserve">Evidence of learning: </w:t>
      </w:r>
      <w:r>
        <w:rPr>
          <w:rFonts w:ascii="Calibri" w:cs="Calibri" w:eastAsia="Calibri" w:hAnsi="Calibri"/>
          <w:sz w:val="21"/>
          <w:szCs w:val="21"/>
        </w:rPr>
        <w:t xml:space="preserve">An organized framework whose tests pass independently, in parallel and across three consecutive runs without retries.</w:t>
      </w:r>
    </w:p>
    <w:p>
      <w:pPr>
        <w:pStyle w:val="Heading2"/>
        <w:spacing w:after="80" w:before="240"/>
      </w:pPr>
      <w:r>
        <w:rPr>
          <w:rFonts w:ascii="Calibri" w:cs="Calibri" w:eastAsia="Calibri" w:hAnsi="Calibri"/>
        </w:rPr>
        <w:t xml:space="preserve">Module 5: API, visual and accessibility automation (9 hours, sessions 16–18)</w:t>
      </w:r>
    </w:p>
    <w:p>
      <w:pPr>
        <w:spacing w:after="120" w:line="276"/>
      </w:pPr>
      <w:r>
        <w:rPr>
          <w:rFonts w:ascii="Calibri" w:cs="Calibri" w:eastAsia="Calibri" w:hAnsi="Calibri"/>
          <w:b/>
          <w:bCs/>
          <w:sz w:val="21"/>
          <w:szCs w:val="21"/>
        </w:rPr>
        <w:t xml:space="preserve">Topics: </w:t>
      </w:r>
      <w:r>
        <w:rPr>
          <w:rFonts w:ascii="Calibri" w:cs="Calibri" w:eastAsia="Calibri" w:hAnsi="Calibri"/>
          <w:sz w:val="21"/>
          <w:szCs w:val="21"/>
        </w:rPr>
        <w:t xml:space="preserve">HTTP methods, status codes, headers and authentication; Playwright request context; response and schema assertions; negative API cases; API setup with UI verification; network mocking and interception; visual comparisons; automated accessibility scanning with axe-core.</w:t>
      </w:r>
    </w:p>
    <w:p>
      <w:pPr>
        <w:spacing w:after="120" w:line="276"/>
      </w:pPr>
      <w:r>
        <w:rPr>
          <w:rFonts w:ascii="Calibri" w:cs="Calibri" w:eastAsia="Calibri" w:hAnsi="Calibri"/>
          <w:b/>
          <w:bCs/>
          <w:sz w:val="21"/>
          <w:szCs w:val="21"/>
        </w:rPr>
        <w:t xml:space="preserve">Practical lab: </w:t>
      </w:r>
      <w:r>
        <w:rPr>
          <w:rFonts w:ascii="Calibri" w:cs="Calibri" w:eastAsia="Calibri" w:hAnsi="Calibri"/>
          <w:sz w:val="21"/>
          <w:szCs w:val="21"/>
        </w:rPr>
        <w:t xml:space="preserve">Create test data through the API, verify it in the browser, mock a failing backend response, add a visual baseline and an accessibility scan.</w:t>
      </w:r>
    </w:p>
    <w:p>
      <w:pPr>
        <w:spacing w:after="120" w:line="276"/>
      </w:pPr>
      <w:r>
        <w:rPr>
          <w:rFonts w:ascii="Calibri" w:cs="Calibri" w:eastAsia="Calibri" w:hAnsi="Calibri"/>
          <w:b/>
          <w:bCs/>
          <w:sz w:val="21"/>
          <w:szCs w:val="21"/>
        </w:rPr>
        <w:t xml:space="preserve">Evidence of learning: </w:t>
      </w:r>
      <w:r>
        <w:rPr>
          <w:rFonts w:ascii="Calibri" w:cs="Calibri" w:eastAsia="Calibri" w:hAnsi="Calibri"/>
          <w:sz w:val="21"/>
          <w:szCs w:val="21"/>
        </w:rPr>
        <w:t xml:space="preserve">API tests, a combined API and UI test, one visual check, one accessibility scan and a short failure investigation.</w:t>
      </w:r>
    </w:p>
    <w:p>
      <w:pPr>
        <w:pStyle w:val="Heading2"/>
        <w:spacing w:after="80" w:before="240"/>
      </w:pPr>
      <w:r>
        <w:rPr>
          <w:rFonts w:ascii="Calibri" w:cs="Calibri" w:eastAsia="Calibri" w:hAnsi="Calibri"/>
        </w:rPr>
        <w:t xml:space="preserve">Module 6: AI-assisted testing (6 hours, sessions 19–20)</w:t>
      </w:r>
    </w:p>
    <w:p>
      <w:pPr>
        <w:spacing w:after="120" w:line="276"/>
      </w:pPr>
      <w:r>
        <w:rPr>
          <w:rFonts w:ascii="Calibri" w:cs="Calibri" w:eastAsia="Calibri" w:hAnsi="Calibri"/>
          <w:b/>
          <w:bCs/>
          <w:sz w:val="21"/>
          <w:szCs w:val="21"/>
        </w:rPr>
        <w:t xml:space="preserve">Topics: </w:t>
      </w:r>
      <w:r>
        <w:rPr>
          <w:rFonts w:ascii="Calibri" w:cs="Calibri" w:eastAsia="Calibri" w:hAnsi="Calibri"/>
          <w:sz w:val="21"/>
          <w:szCs w:val="21"/>
        </w:rPr>
        <w:t xml:space="preserve">Where AI helps in QA and where it does not; prompt patterns for deriving test ideas from requirements; generating realistic test data; using AI coding assistants to draft and refactor Playwright code; Playwright MCP and Playwright test agents for exploration and test generation; reviewing AI output for wrong locators, weak assertions and missing cases; data privacy and keeping secrets out of prompts.</w:t>
      </w:r>
    </w:p>
    <w:p>
      <w:pPr>
        <w:spacing w:after="120" w:line="276"/>
      </w:pPr>
      <w:r>
        <w:rPr>
          <w:rFonts w:ascii="Calibri" w:cs="Calibri" w:eastAsia="Calibri" w:hAnsi="Calibri"/>
          <w:b/>
          <w:bCs/>
          <w:sz w:val="21"/>
          <w:szCs w:val="21"/>
        </w:rPr>
        <w:t xml:space="preserve">Practical lab: </w:t>
      </w:r>
      <w:r>
        <w:rPr>
          <w:rFonts w:ascii="Calibri" w:cs="Calibri" w:eastAsia="Calibri" w:hAnsi="Calibri"/>
          <w:sz w:val="21"/>
          <w:szCs w:val="21"/>
        </w:rPr>
        <w:t xml:space="preserve">Generate test ideas for a user story with AI and compare them with the technique-based cases from Module 1; use an AI assistant to scaffold a page object, then review, correct and harden it.</w:t>
      </w:r>
    </w:p>
    <w:p>
      <w:pPr>
        <w:spacing w:after="120" w:line="276"/>
      </w:pPr>
      <w:r>
        <w:rPr>
          <w:rFonts w:ascii="Calibri" w:cs="Calibri" w:eastAsia="Calibri" w:hAnsi="Calibri"/>
          <w:b/>
          <w:bCs/>
          <w:sz w:val="21"/>
          <w:szCs w:val="21"/>
        </w:rPr>
        <w:t xml:space="preserve">Evidence of learning: </w:t>
      </w:r>
      <w:r>
        <w:rPr>
          <w:rFonts w:ascii="Calibri" w:cs="Calibri" w:eastAsia="Calibri" w:hAnsi="Calibri"/>
          <w:sz w:val="21"/>
          <w:szCs w:val="21"/>
        </w:rPr>
        <w:t xml:space="preserve">An AI-use log recording prompts, outputs, what was accepted or rejected and why, plus the corrected code.</w:t>
      </w:r>
    </w:p>
    <w:p>
      <w:pPr>
        <w:pStyle w:val="Heading2"/>
        <w:spacing w:after="80" w:before="240"/>
      </w:pPr>
      <w:r>
        <w:rPr>
          <w:rFonts w:ascii="Calibri" w:cs="Calibri" w:eastAsia="Calibri" w:hAnsi="Calibri"/>
        </w:rPr>
        <w:t xml:space="preserve">Module 7: Docker and CI/CD for QA (9 hours, sessions 21–23)</w:t>
      </w:r>
    </w:p>
    <w:p>
      <w:pPr>
        <w:spacing w:after="120" w:line="276"/>
      </w:pPr>
      <w:r>
        <w:rPr>
          <w:rFonts w:ascii="Calibri" w:cs="Calibri" w:eastAsia="Calibri" w:hAnsi="Calibri"/>
          <w:b/>
          <w:bCs/>
          <w:sz w:val="21"/>
          <w:szCs w:val="21"/>
        </w:rPr>
        <w:t xml:space="preserve">Topics: </w:t>
      </w:r>
      <w:r>
        <w:rPr>
          <w:rFonts w:ascii="Calibri" w:cs="Calibri" w:eastAsia="Calibri" w:hAnsi="Calibri"/>
          <w:sz w:val="21"/>
          <w:szCs w:val="21"/>
        </w:rPr>
        <w:t xml:space="preserve">Images, containers and volumes; the official Playwright Docker image; Dockerfiles; browser dependencies; environment variables; preserving reports; exit codes; container networking; Docker Compose; GitHub Actions workflows, triggers, artifacts, secrets, test sharding and status badges.</w:t>
      </w:r>
    </w:p>
    <w:p>
      <w:pPr>
        <w:spacing w:after="120" w:line="276"/>
      </w:pPr>
      <w:r>
        <w:rPr>
          <w:rFonts w:ascii="Calibri" w:cs="Calibri" w:eastAsia="Calibri" w:hAnsi="Calibri"/>
          <w:b/>
          <w:bCs/>
          <w:sz w:val="21"/>
          <w:szCs w:val="21"/>
        </w:rPr>
        <w:t xml:space="preserve">Practical lab: </w:t>
      </w:r>
      <w:r>
        <w:rPr>
          <w:rFonts w:ascii="Calibri" w:cs="Calibri" w:eastAsia="Calibri" w:hAnsi="Calibri"/>
          <w:sz w:val="21"/>
          <w:szCs w:val="21"/>
        </w:rPr>
        <w:t xml:space="preserve">Build a test-runner image, run the suite against a containerized training service and add a GitHub Actions pipeline that runs on every push and publishes the HTML report.</w:t>
      </w:r>
    </w:p>
    <w:p>
      <w:pPr>
        <w:spacing w:after="120" w:line="276"/>
      </w:pPr>
      <w:r>
        <w:rPr>
          <w:rFonts w:ascii="Calibri" w:cs="Calibri" w:eastAsia="Calibri" w:hAnsi="Calibri"/>
          <w:b/>
          <w:bCs/>
          <w:sz w:val="21"/>
          <w:szCs w:val="21"/>
        </w:rPr>
        <w:t xml:space="preserve">Evidence of learning: </w:t>
      </w:r>
      <w:r>
        <w:rPr>
          <w:rFonts w:ascii="Calibri" w:cs="Calibri" w:eastAsia="Calibri" w:hAnsi="Calibri"/>
          <w:sz w:val="21"/>
          <w:szCs w:val="21"/>
        </w:rPr>
        <w:t xml:space="preserve">Dockerfile, Compose file, a passing CI pipeline with report artifacts and a status badge in the README.</w:t>
      </w:r>
    </w:p>
    <w:p>
      <w:pPr>
        <w:pStyle w:val="Heading2"/>
        <w:spacing w:after="80" w:before="240"/>
      </w:pPr>
      <w:r>
        <w:rPr>
          <w:rFonts w:ascii="Calibri" w:cs="Calibri" w:eastAsia="Calibri" w:hAnsi="Calibri"/>
        </w:rPr>
        <w:t xml:space="preserve">Module 8: n8n orchestration and AI failure triage (9 hours, sessions 24–26)</w:t>
      </w:r>
    </w:p>
    <w:p>
      <w:pPr>
        <w:spacing w:after="120" w:line="276"/>
      </w:pPr>
      <w:r>
        <w:rPr>
          <w:rFonts w:ascii="Calibri" w:cs="Calibri" w:eastAsia="Calibri" w:hAnsi="Calibri"/>
          <w:b/>
          <w:bCs/>
          <w:sz w:val="21"/>
          <w:szCs w:val="21"/>
        </w:rPr>
        <w:t xml:space="preserve">Topics: </w:t>
      </w:r>
      <w:r>
        <w:rPr>
          <w:rFonts w:ascii="Calibri" w:cs="Calibri" w:eastAsia="Calibri" w:hAnsi="Calibri"/>
          <w:sz w:val="21"/>
          <w:szCs w:val="21"/>
        </w:rPr>
        <w:t xml:space="preserve">Self-hosting n8n with Docker; workflow concepts; manual, scheduled and webhook triggers; HTTP Request node; JSON mapping; IF and Switch branches; credentials; error workflows; duplicate requests and bounded retries; notifications by Telegram, Slack or email; logging results to Google Sheets; an AI node that classifies failures as product bug, flaky test or environment issue and drafts a bug report for human approval.</w:t>
      </w:r>
    </w:p>
    <w:p>
      <w:pPr>
        <w:spacing w:after="120" w:line="276"/>
      </w:pPr>
      <w:r>
        <w:rPr>
          <w:rFonts w:ascii="Calibri" w:cs="Calibri" w:eastAsia="Calibri" w:hAnsi="Calibri"/>
          <w:b/>
          <w:bCs/>
          <w:sz w:val="21"/>
          <w:szCs w:val="21"/>
        </w:rPr>
        <w:t xml:space="preserve">Practical lab: </w:t>
      </w:r>
      <w:r>
        <w:rPr>
          <w:rFonts w:ascii="Calibri" w:cs="Calibri" w:eastAsia="Calibri" w:hAnsi="Calibri"/>
          <w:sz w:val="21"/>
          <w:szCs w:val="21"/>
        </w:rPr>
        <w:t xml:space="preserve">Trigger a test run, poll its status, process the result summary, send distinct pass, fail and infrastructure-error notifications and add AI triage of failures.</w:t>
      </w:r>
    </w:p>
    <w:p>
      <w:pPr>
        <w:spacing w:after="120" w:line="276"/>
      </w:pPr>
      <w:r>
        <w:rPr>
          <w:rFonts w:ascii="Calibri" w:cs="Calibri" w:eastAsia="Calibri" w:hAnsi="Calibri"/>
          <w:b/>
          <w:bCs/>
          <w:sz w:val="21"/>
          <w:szCs w:val="21"/>
        </w:rPr>
        <w:t xml:space="preserve">Evidence of learning: </w:t>
      </w:r>
      <w:r>
        <w:rPr>
          <w:rFonts w:ascii="Calibri" w:cs="Calibri" w:eastAsia="Calibri" w:hAnsi="Calibri"/>
          <w:sz w:val="21"/>
          <w:szCs w:val="21"/>
        </w:rPr>
        <w:t xml:space="preserve">An exported n8n workflow and evidence of correctly handled success, failure and error paths.</w:t>
      </w:r>
    </w:p>
    <w:p>
      <w:pPr>
        <w:pStyle w:val="Heading2"/>
        <w:spacing w:after="80" w:before="240"/>
      </w:pPr>
      <w:r>
        <w:rPr>
          <w:rFonts w:ascii="Calibri" w:cs="Calibri" w:eastAsia="Calibri" w:hAnsi="Calibri"/>
        </w:rPr>
        <w:t xml:space="preserve">Module 9: Capstone project and career readiness (8 hours, sessions 27–29)</w:t>
      </w:r>
    </w:p>
    <w:p>
      <w:pPr>
        <w:spacing w:after="120" w:line="276"/>
      </w:pPr>
      <w:r>
        <w:rPr>
          <w:rFonts w:ascii="Calibri" w:cs="Calibri" w:eastAsia="Calibri" w:hAnsi="Calibri"/>
          <w:b/>
          <w:bCs/>
          <w:sz w:val="21"/>
          <w:szCs w:val="21"/>
        </w:rPr>
        <w:t xml:space="preserve">Topics: </w:t>
      </w:r>
      <w:r>
        <w:rPr>
          <w:rFonts w:ascii="Calibri" w:cs="Calibri" w:eastAsia="Calibri" w:hAnsi="Calibri"/>
          <w:sz w:val="21"/>
          <w:szCs w:val="21"/>
        </w:rPr>
        <w:t xml:space="preserve">Integrating all components; operational debugging; documentation; coverage review; presenting results; QA CV and LinkedIn profile; GitHub portfolio presentation; common manual and automation interview questions; next steps toward ISTQB Foundation certification.</w:t>
      </w:r>
    </w:p>
    <w:p>
      <w:pPr>
        <w:spacing w:after="120" w:line="276"/>
      </w:pPr>
      <w:r>
        <w:rPr>
          <w:rFonts w:ascii="Calibri" w:cs="Calibri" w:eastAsia="Calibri" w:hAnsi="Calibri"/>
          <w:b/>
          <w:bCs/>
          <w:sz w:val="21"/>
          <w:szCs w:val="21"/>
        </w:rPr>
        <w:t xml:space="preserve">Practical lab: </w:t>
      </w:r>
      <w:r>
        <w:rPr>
          <w:rFonts w:ascii="Calibri" w:cs="Calibri" w:eastAsia="Calibri" w:hAnsi="Calibri"/>
          <w:sz w:val="21"/>
          <w:szCs w:val="21"/>
        </w:rPr>
        <w:t xml:space="preserve">Complete the capstone, pass a peer code review, then present a live passing run and an intentional failure with its evidence.</w:t>
      </w:r>
    </w:p>
    <w:p>
      <w:pPr>
        <w:spacing w:after="120" w:line="276"/>
      </w:pPr>
      <w:r>
        <w:rPr>
          <w:rFonts w:ascii="Calibri" w:cs="Calibri" w:eastAsia="Calibri" w:hAnsi="Calibri"/>
          <w:b/>
          <w:bCs/>
          <w:sz w:val="21"/>
          <w:szCs w:val="21"/>
        </w:rPr>
        <w:t xml:space="preserve">Evidence of learning: </w:t>
      </w:r>
      <w:r>
        <w:rPr>
          <w:rFonts w:ascii="Calibri" w:cs="Calibri" w:eastAsia="Calibri" w:hAnsi="Calibri"/>
          <w:sz w:val="21"/>
          <w:szCs w:val="21"/>
        </w:rPr>
        <w:t xml:space="preserve">Git repository, CI pipeline, Docker configuration, n8n export, test evidence, updated CV and a live demonstration.</w:t>
      </w:r>
    </w:p>
    <w:p>
      <w:pPr>
        <w:pStyle w:val="Heading1"/>
        <w:spacing w:after="120" w:before="320"/>
      </w:pPr>
      <w:r>
        <w:rPr>
          <w:rFonts w:ascii="Calibri" w:cs="Calibri" w:eastAsia="Calibri" w:hAnsi="Calibri"/>
        </w:rPr>
        <w:t xml:space="preserve">Integration design</w:t>
      </w:r>
    </w:p>
    <w:p>
      <w:pPr>
        <w:spacing w:after="120" w:line="276"/>
      </w:pPr>
      <w:r>
        <w:rPr>
          <w:rFonts w:ascii="Calibri" w:cs="Calibri" w:eastAsia="Calibri" w:hAnsi="Calibri"/>
          <w:sz w:val="21"/>
          <w:szCs w:val="21"/>
        </w:rPr>
        <w:t xml:space="preserve">The capstone connects every tool the way a real QA team would. n8n receives a webhook or scheduled trigger and calls a small instructor-provided test-runner HTTP service. The runner starts the containerized Playwright suite and exposes a run identifier, status, summary and report location. The same suite also runs in GitHub Actions on every push. When tests fail, n8n sends the failure details to an AI step that classifies the cause and drafts a bug report, which a person reviews before it is filed. Playwright holds all browser and API assertions; n8n handles orchestration, triage and notifications. Building the runner service is optional extension work.</w:t>
      </w:r>
    </w:p>
    <w:p>
      <w:pPr>
        <w:pStyle w:val="Heading1"/>
        <w:spacing w:after="120" w:before="320"/>
      </w:pPr>
      <w:r>
        <w:rPr>
          <w:rFonts w:ascii="Calibri" w:cs="Calibri" w:eastAsia="Calibri" w:hAnsi="Calibri"/>
        </w:rPr>
        <w:t xml:space="preserve">ISTQB CTFL v4.0 alignment</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4200"/>
        <w:gridCol w:w="5736"/>
      </w:tblGrid>
      <w:tr>
        <w:trPr>
          <w:tblHeader/>
        </w:trPr>
        <w:tc>
          <w:tcPr>
            <w:tcW w:type="dxa" w:w="4200"/>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CTFL v4.0 chapter</w:t>
            </w:r>
          </w:p>
        </w:tc>
        <w:tc>
          <w:tcPr>
            <w:tcW w:type="dxa" w:w="5736"/>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Where it is covered</w:t>
            </w:r>
          </w:p>
        </w:tc>
      </w:tr>
      <w:tr>
        <w:trPr>
          <w:cantSplit/>
        </w:trPr>
        <w:tc>
          <w:tcPr>
            <w:tcW w:type="dxa" w:w="4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1. Fundamentals of Testing</w:t>
            </w:r>
          </w:p>
        </w:tc>
        <w:tc>
          <w:tcPr>
            <w:tcW w:type="dxa" w:w="57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Module 1, session 1</w:t>
            </w:r>
          </w:p>
        </w:tc>
      </w:tr>
      <w:tr>
        <w:trPr>
          <w:cantSplit/>
        </w:trPr>
        <w:tc>
          <w:tcPr>
            <w:tcW w:type="dxa" w:w="4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2. Testing Throughout the SDLC</w:t>
            </w:r>
          </w:p>
        </w:tc>
        <w:tc>
          <w:tcPr>
            <w:tcW w:type="dxa" w:w="57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Module 1, sessions 1–2; Module 7 (CI/CD)</w:t>
            </w:r>
          </w:p>
        </w:tc>
      </w:tr>
      <w:tr>
        <w:trPr>
          <w:cantSplit/>
        </w:trPr>
        <w:tc>
          <w:tcPr>
            <w:tcW w:type="dxa" w:w="4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3. Static Testing</w:t>
            </w:r>
          </w:p>
        </w:tc>
        <w:tc>
          <w:tcPr>
            <w:tcW w:type="dxa" w:w="57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Module 1, session 2</w:t>
            </w:r>
          </w:p>
        </w:tc>
      </w:tr>
      <w:tr>
        <w:trPr>
          <w:cantSplit/>
        </w:trPr>
        <w:tc>
          <w:tcPr>
            <w:tcW w:type="dxa" w:w="4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4. Test Analysis and Design</w:t>
            </w:r>
          </w:p>
        </w:tc>
        <w:tc>
          <w:tcPr>
            <w:tcW w:type="dxa" w:w="57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Module 1, sessions 2–4; Module 6</w:t>
            </w:r>
          </w:p>
        </w:tc>
      </w:tr>
      <w:tr>
        <w:trPr>
          <w:cantSplit/>
        </w:trPr>
        <w:tc>
          <w:tcPr>
            <w:tcW w:type="dxa" w:w="4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5. Managing the Test Activities</w:t>
            </w:r>
          </w:p>
        </w:tc>
        <w:tc>
          <w:tcPr>
            <w:tcW w:type="dxa" w:w="57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Module 1, sessions 3–4; Module 8 (defect triage)</w:t>
            </w:r>
          </w:p>
        </w:tc>
      </w:tr>
      <w:tr>
        <w:trPr>
          <w:cantSplit/>
        </w:trPr>
        <w:tc>
          <w:tcPr>
            <w:tcW w:type="dxa" w:w="42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6. Test Tools</w:t>
            </w:r>
          </w:p>
        </w:tc>
        <w:tc>
          <w:tcPr>
            <w:tcW w:type="dxa" w:w="57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Modules 3–8</w:t>
            </w:r>
          </w:p>
        </w:tc>
      </w:tr>
    </w:tbl>
    <w:p>
      <w:pPr>
        <w:spacing w:after="60"/>
      </w:pPr>
    </w:p>
    <w:p>
      <w:pPr>
        <w:spacing w:after="120" w:line="276"/>
      </w:pPr>
      <w:r>
        <w:rPr>
          <w:rFonts w:ascii="Calibri" w:cs="Calibri" w:eastAsia="Calibri" w:hAnsi="Calibri"/>
          <w:sz w:val="21"/>
          <w:szCs w:val="21"/>
        </w:rPr>
        <w:t xml:space="preserve">The course prepares learners for the ISTQB Foundation exam topics; the exam itself is taken separately and is not included in the course.</w:t>
      </w:r>
    </w:p>
    <w:p>
      <w:pPr>
        <w:pStyle w:val="Heading1"/>
        <w:spacing w:after="120" w:before="320"/>
      </w:pPr>
      <w:r>
        <w:rPr>
          <w:rFonts w:ascii="Calibri" w:cs="Calibri" w:eastAsia="Calibri" w:hAnsi="Calibri"/>
        </w:rPr>
        <w:t xml:space="preserve">Assessment and final project</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2600"/>
        <w:gridCol w:w="1300"/>
        <w:gridCol w:w="6036"/>
      </w:tblGrid>
      <w:tr>
        <w:trPr>
          <w:tblHeader/>
        </w:trPr>
        <w:tc>
          <w:tcPr>
            <w:tcW w:type="dxa" w:w="2600"/>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Assessment</w:t>
            </w:r>
          </w:p>
        </w:tc>
        <w:tc>
          <w:tcPr>
            <w:tcW w:type="dxa" w:w="1300"/>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Weight</w:t>
            </w:r>
          </w:p>
        </w:tc>
        <w:tc>
          <w:tcPr>
            <w:tcW w:type="dxa" w:w="6036"/>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Evidence</w:t>
            </w:r>
          </w:p>
        </w:tc>
      </w:tr>
      <w:tr>
        <w:trPr>
          <w:cantSplit/>
        </w:trPr>
        <w:tc>
          <w:tcPr>
            <w:tcW w:type="dxa" w:w="26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Module labs and checkpoints</w:t>
            </w:r>
          </w:p>
        </w:tc>
        <w:tc>
          <w:tcPr>
            <w:tcW w:type="dxa" w:w="13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40%</w:t>
            </w:r>
          </w:p>
        </w:tc>
        <w:tc>
          <w:tcPr>
            <w:tcW w:type="dxa" w:w="60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Practical submissions from Modules 1–8 and four module checkpoints</w:t>
            </w:r>
          </w:p>
        </w:tc>
      </w:tr>
      <w:tr>
        <w:trPr>
          <w:cantSplit/>
        </w:trPr>
        <w:tc>
          <w:tcPr>
            <w:tcW w:type="dxa" w:w="26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Knowledge checks</w:t>
            </w:r>
          </w:p>
        </w:tc>
        <w:tc>
          <w:tcPr>
            <w:tcW w:type="dxa" w:w="13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10%</w:t>
            </w:r>
          </w:p>
        </w:tc>
        <w:tc>
          <w:tcPr>
            <w:tcW w:type="dxa" w:w="60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Short quizzes and explanations of core concepts</w:t>
            </w:r>
          </w:p>
        </w:tc>
      </w:tr>
      <w:tr>
        <w:trPr>
          <w:cantSplit/>
        </w:trPr>
        <w:tc>
          <w:tcPr>
            <w:tcW w:type="dxa" w:w="26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Final project</w:t>
            </w:r>
          </w:p>
        </w:tc>
        <w:tc>
          <w:tcPr>
            <w:tcW w:type="dxa" w:w="13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40%</w:t>
            </w:r>
          </w:p>
        </w:tc>
        <w:tc>
          <w:tcPr>
            <w:tcW w:type="dxa" w:w="60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Integrated implementation with documented test evidence</w:t>
            </w:r>
          </w:p>
        </w:tc>
      </w:tr>
      <w:tr>
        <w:trPr>
          <w:cantSplit/>
        </w:trPr>
        <w:tc>
          <w:tcPr>
            <w:tcW w:type="dxa" w:w="26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Demonstration</w:t>
            </w:r>
          </w:p>
        </w:tc>
        <w:tc>
          <w:tcPr>
            <w:tcW w:type="dxa" w:w="13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10%</w:t>
            </w:r>
          </w:p>
        </w:tc>
        <w:tc>
          <w:tcPr>
            <w:tcW w:type="dxa" w:w="60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sz w:val="19"/>
                <w:szCs w:val="19"/>
              </w:rPr>
              <w:t xml:space="preserve">Live walkthrough and explanation of design choices</w:t>
            </w:r>
          </w:p>
        </w:tc>
      </w:tr>
    </w:tbl>
    <w:p>
      <w:pPr>
        <w:pStyle w:val="Heading2"/>
        <w:spacing w:after="80" w:before="240"/>
      </w:pPr>
      <w:r>
        <w:rPr>
          <w:rFonts w:ascii="Calibri" w:cs="Calibri" w:eastAsia="Calibri" w:hAnsi="Calibri"/>
        </w:rPr>
        <w:t xml:space="preserve">Final project requirements</w:t>
      </w:r>
    </w:p>
    <w:p>
      <w:pPr>
        <w:pStyle w:val="ListParagraph"/>
        <w:numPr>
          <w:ilvl w:val="0"/>
          <w:numId w:val="3"/>
        </w:numPr>
        <w:spacing w:after="60"/>
      </w:pPr>
      <w:r>
        <w:rPr>
          <w:rFonts w:ascii="Calibri" w:cs="Calibri" w:eastAsia="Calibri" w:hAnsi="Calibri"/>
          <w:sz w:val="21"/>
          <w:szCs w:val="21"/>
        </w:rPr>
        <w:t xml:space="preserve">A risk-based test plan, at least 20 manual test cases traced to requirements and at least 3 reproducible defect reports.</w:t>
      </w:r>
    </w:p>
    <w:p>
      <w:pPr>
        <w:pStyle w:val="ListParagraph"/>
        <w:numPr>
          <w:ilvl w:val="0"/>
          <w:numId w:val="3"/>
        </w:numPr>
        <w:spacing w:after="60"/>
      </w:pPr>
      <w:r>
        <w:rPr>
          <w:rFonts w:ascii="Calibri" w:cs="Calibri" w:eastAsia="Calibri" w:hAnsi="Calibri"/>
          <w:sz w:val="21"/>
          <w:szCs w:val="21"/>
        </w:rPr>
        <w:t xml:space="preserve">At least 20 automated tests: at least 14 browser tests and 6 API tests, with positive and negative scenarios, one visual check and one accessibility scan.</w:t>
      </w:r>
    </w:p>
    <w:p>
      <w:pPr>
        <w:pStyle w:val="ListParagraph"/>
        <w:numPr>
          <w:ilvl w:val="0"/>
          <w:numId w:val="3"/>
        </w:numPr>
        <w:spacing w:after="60"/>
      </w:pPr>
      <w:r>
        <w:rPr>
          <w:rFonts w:ascii="Calibri" w:cs="Calibri" w:eastAsia="Calibri" w:hAnsi="Calibri"/>
          <w:sz w:val="21"/>
          <w:szCs w:val="21"/>
        </w:rPr>
        <w:t xml:space="preserve">TypeScript with page objects or fixtures and isolated test data; the suite passes three consecutive runs without retries.</w:t>
      </w:r>
    </w:p>
    <w:p>
      <w:pPr>
        <w:pStyle w:val="ListParagraph"/>
        <w:numPr>
          <w:ilvl w:val="0"/>
          <w:numId w:val="3"/>
        </w:numPr>
        <w:spacing w:after="60"/>
      </w:pPr>
      <w:r>
        <w:rPr>
          <w:rFonts w:ascii="Calibri" w:cs="Calibri" w:eastAsia="Calibri" w:hAnsi="Calibri"/>
          <w:sz w:val="21"/>
          <w:szCs w:val="21"/>
        </w:rPr>
        <w:t xml:space="preserve">The suite runs in Docker and in a GitHub Actions pipeline on every push, with the HTML report published as an artifact and a status badge in the README.</w:t>
      </w:r>
    </w:p>
    <w:p>
      <w:pPr>
        <w:pStyle w:val="ListParagraph"/>
        <w:numPr>
          <w:ilvl w:val="0"/>
          <w:numId w:val="3"/>
        </w:numPr>
        <w:spacing w:after="60"/>
      </w:pPr>
      <w:r>
        <w:rPr>
          <w:rFonts w:ascii="Calibri" w:cs="Calibri" w:eastAsia="Calibri" w:hAnsi="Calibri"/>
          <w:sz w:val="21"/>
          <w:szCs w:val="21"/>
        </w:rPr>
        <w:t xml:space="preserve">An n8n workflow with webhook and scheduled triggers that distinguishes passed tests, failed tests and infrastructure errors, uses AI to triage failures, and sends a notification with the run identifier and report link.</w:t>
      </w:r>
    </w:p>
    <w:p>
      <w:pPr>
        <w:pStyle w:val="ListParagraph"/>
        <w:numPr>
          <w:ilvl w:val="0"/>
          <w:numId w:val="3"/>
        </w:numPr>
        <w:spacing w:after="60"/>
      </w:pPr>
      <w:r>
        <w:rPr>
          <w:rFonts w:ascii="Calibri" w:cs="Calibri" w:eastAsia="Calibri" w:hAnsi="Calibri"/>
          <w:sz w:val="21"/>
          <w:szCs w:val="21"/>
        </w:rPr>
        <w:t xml:space="preserve">An AI-use log showing where AI was used, what it produced and what was corrected.</w:t>
      </w:r>
    </w:p>
    <w:p>
      <w:pPr>
        <w:pStyle w:val="ListParagraph"/>
        <w:numPr>
          <w:ilvl w:val="0"/>
          <w:numId w:val="3"/>
        </w:numPr>
        <w:spacing w:after="60"/>
      </w:pPr>
      <w:r>
        <w:rPr>
          <w:rFonts w:ascii="Calibri" w:cs="Calibri" w:eastAsia="Calibri" w:hAnsi="Calibri"/>
          <w:sz w:val="21"/>
          <w:szCs w:val="21"/>
        </w:rPr>
        <w:t xml:space="preserve">A README, setup configuration, clean Git history, workflow export and sample reports, with no credentials in submitted files.</w:t>
      </w:r>
    </w:p>
    <w:p>
      <w:pPr>
        <w:pStyle w:val="ListParagraph"/>
        <w:numPr>
          <w:ilvl w:val="0"/>
          <w:numId w:val="3"/>
        </w:numPr>
        <w:spacing w:after="60"/>
      </w:pPr>
      <w:r>
        <w:rPr>
          <w:rFonts w:ascii="Calibri" w:cs="Calibri" w:eastAsia="Calibri" w:hAnsi="Calibri"/>
          <w:sz w:val="21"/>
          <w:szCs w:val="21"/>
        </w:rPr>
        <w:t xml:space="preserve">A live demonstration of a passing run and an intentional failure, with an explanation of the evidence.</w:t>
      </w:r>
    </w:p>
    <w:p>
      <w:pPr>
        <w:pStyle w:val="Heading2"/>
        <w:spacing w:after="80" w:before="240"/>
      </w:pPr>
      <w:r>
        <w:rPr>
          <w:rFonts w:ascii="Calibri" w:cs="Calibri" w:eastAsia="Calibri" w:hAnsi="Calibri"/>
        </w:rPr>
        <w:t xml:space="preserve">Final project rubric</w:t>
      </w:r>
    </w:p>
    <w:tbl>
      <w:tblPr>
        <w:tblW w:type="dxa" w:w="9936"/>
        <w:tblBorders>
          <w:top w:val="single" w:color="auto" w:sz="4"/>
          <w:left w:val="single" w:color="auto" w:sz="4"/>
          <w:bottom w:val="single" w:color="auto" w:sz="4"/>
          <w:right w:val="single" w:color="auto" w:sz="4"/>
          <w:insideH w:val="single" w:color="auto" w:sz="4"/>
          <w:insideV w:val="single" w:color="auto" w:sz="4"/>
        </w:tblBorders>
      </w:tblPr>
      <w:tblGrid>
        <w:gridCol w:w="6936"/>
        <w:gridCol w:w="3000"/>
      </w:tblGrid>
      <w:tr>
        <w:trPr>
          <w:tblHeader/>
        </w:trPr>
        <w:tc>
          <w:tcPr>
            <w:tcW w:type="dxa" w:w="6936"/>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Criterion</w:t>
            </w:r>
          </w:p>
        </w:tc>
        <w:tc>
          <w:tcPr>
            <w:tcW w:type="dxa" w:w="3000"/>
            <w:tcBorders>
              <w:top w:val="single" w:color="C9D1DA" w:sz="4"/>
              <w:left w:val="single" w:color="C9D1DA" w:sz="4"/>
              <w:bottom w:val="single" w:color="C9D1DA" w:sz="4"/>
              <w:right w:val="single" w:color="C9D1DA" w:sz="4"/>
            </w:tcBorders>
            <w:shd w:fill="E8EDF2" w:color="auto" w:val="clear"/>
            <w:tcMar>
              <w:top w:type="dxa" w:w="70"/>
              <w:left w:type="dxa" w:w="110"/>
              <w:bottom w:type="dxa" w:w="70"/>
              <w:right w:type="dxa" w:w="110"/>
            </w:tcMar>
          </w:tcPr>
          <w:p>
            <w:r>
              <w:rPr>
                <w:rFonts w:ascii="Calibri" w:cs="Calibri" w:eastAsia="Calibri" w:hAnsi="Calibri"/>
                <w:b/>
                <w:bCs/>
                <w:sz w:val="19"/>
                <w:szCs w:val="19"/>
              </w:rPr>
              <w:t xml:space="preserve">Share of final project mark</w:t>
            </w:r>
          </w:p>
        </w:tc>
      </w:tr>
      <w:tr>
        <w:trPr>
          <w:cantSplit/>
        </w:trPr>
        <w:tc>
          <w:tcPr>
            <w:tcW w:type="dxa" w:w="69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Automated test quality and coverage</w:t>
            </w:r>
          </w:p>
        </w:tc>
        <w:tc>
          <w:tcPr>
            <w:tcW w:type="dxa" w:w="30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25%</w:t>
            </w:r>
          </w:p>
        </w:tc>
      </w:tr>
      <w:tr>
        <w:trPr>
          <w:cantSplit/>
        </w:trPr>
        <w:tc>
          <w:tcPr>
            <w:tcW w:type="dxa" w:w="69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Framework organization and reliability</w:t>
            </w:r>
          </w:p>
        </w:tc>
        <w:tc>
          <w:tcPr>
            <w:tcW w:type="dxa" w:w="30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20%</w:t>
            </w:r>
          </w:p>
        </w:tc>
      </w:tr>
      <w:tr>
        <w:trPr>
          <w:cantSplit/>
        </w:trPr>
        <w:tc>
          <w:tcPr>
            <w:tcW w:type="dxa" w:w="69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n8n integration, AI triage and error handling</w:t>
            </w:r>
          </w:p>
        </w:tc>
        <w:tc>
          <w:tcPr>
            <w:tcW w:type="dxa" w:w="30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20%</w:t>
            </w:r>
          </w:p>
        </w:tc>
      </w:tr>
      <w:tr>
        <w:trPr>
          <w:cantSplit/>
        </w:trPr>
        <w:tc>
          <w:tcPr>
            <w:tcW w:type="dxa" w:w="69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Docker and CI/CD execution</w:t>
            </w:r>
          </w:p>
        </w:tc>
        <w:tc>
          <w:tcPr>
            <w:tcW w:type="dxa" w:w="30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15%</w:t>
            </w:r>
          </w:p>
        </w:tc>
      </w:tr>
      <w:tr>
        <w:trPr>
          <w:cantSplit/>
        </w:trPr>
        <w:tc>
          <w:tcPr>
            <w:tcW w:type="dxa" w:w="69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Manual test artifacts (plan, cases, defects)</w:t>
            </w:r>
          </w:p>
        </w:tc>
        <w:tc>
          <w:tcPr>
            <w:tcW w:type="dxa" w:w="30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10%</w:t>
            </w:r>
          </w:p>
        </w:tc>
      </w:tr>
      <w:tr>
        <w:trPr>
          <w:cantSplit/>
        </w:trPr>
        <w:tc>
          <w:tcPr>
            <w:tcW w:type="dxa" w:w="6936"/>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Documentation and reproducibility</w:t>
            </w:r>
          </w:p>
        </w:tc>
        <w:tc>
          <w:tcPr>
            <w:tcW w:type="dxa" w:w="3000"/>
            <w:tcBorders>
              <w:top w:val="single" w:color="C9D1DA" w:sz="4"/>
              <w:left w:val="single" w:color="C9D1DA" w:sz="4"/>
              <w:bottom w:val="single" w:color="C9D1DA" w:sz="4"/>
              <w:right w:val="single" w:color="C9D1DA" w:sz="4"/>
            </w:tcBorders>
            <w:tcMar>
              <w:top w:type="dxa" w:w="70"/>
              <w:left w:type="dxa" w:w="110"/>
              <w:bottom w:type="dxa" w:w="70"/>
              <w:right w:type="dxa" w:w="110"/>
            </w:tcMar>
          </w:tcPr>
          <w:p>
            <w:r>
              <w:rPr>
                <w:rFonts w:ascii="Calibri" w:cs="Calibri" w:eastAsia="Calibri" w:hAnsi="Calibri"/>
                <w:b w:val="false"/>
                <w:bCs w:val="false"/>
                <w:sz w:val="19"/>
                <w:szCs w:val="19"/>
              </w:rPr>
              <w:t xml:space="preserve">10%</w:t>
            </w:r>
          </w:p>
        </w:tc>
      </w:tr>
      <w:tr>
        <w:trPr>
          <w:cantSplit/>
        </w:trPr>
        <w:tc>
          <w:tcPr>
            <w:tcW w:type="dxa" w:w="6936"/>
            <w:tcBorders>
              <w:top w:val="single" w:color="C9D1DA" w:sz="4"/>
              <w:left w:val="single" w:color="C9D1DA" w:sz="4"/>
              <w:bottom w:val="single" w:color="C9D1DA" w:sz="4"/>
              <w:right w:val="single" w:color="C9D1DA" w:sz="4"/>
            </w:tcBorders>
            <w:shd w:fill="F4F6F8" w:color="auto" w:val="clear"/>
            <w:tcMar>
              <w:top w:type="dxa" w:w="70"/>
              <w:left w:type="dxa" w:w="110"/>
              <w:bottom w:type="dxa" w:w="70"/>
              <w:right w:type="dxa" w:w="110"/>
            </w:tcMar>
          </w:tcPr>
          <w:p>
            <w:r>
              <w:rPr>
                <w:rFonts w:ascii="Calibri" w:cs="Calibri" w:eastAsia="Calibri" w:hAnsi="Calibri"/>
                <w:b/>
                <w:bCs/>
                <w:sz w:val="19"/>
                <w:szCs w:val="19"/>
              </w:rPr>
              <w:t xml:space="preserve">Total</w:t>
            </w:r>
          </w:p>
        </w:tc>
        <w:tc>
          <w:tcPr>
            <w:tcW w:type="dxa" w:w="3000"/>
            <w:tcBorders>
              <w:top w:val="single" w:color="C9D1DA" w:sz="4"/>
              <w:left w:val="single" w:color="C9D1DA" w:sz="4"/>
              <w:bottom w:val="single" w:color="C9D1DA" w:sz="4"/>
              <w:right w:val="single" w:color="C9D1DA" w:sz="4"/>
            </w:tcBorders>
            <w:shd w:fill="F4F6F8" w:color="auto" w:val="clear"/>
            <w:tcMar>
              <w:top w:type="dxa" w:w="70"/>
              <w:left w:type="dxa" w:w="110"/>
              <w:bottom w:type="dxa" w:w="70"/>
              <w:right w:type="dxa" w:w="110"/>
            </w:tcMar>
          </w:tcPr>
          <w:p>
            <w:r>
              <w:rPr>
                <w:rFonts w:ascii="Calibri" w:cs="Calibri" w:eastAsia="Calibri" w:hAnsi="Calibri"/>
                <w:b/>
                <w:bCs/>
                <w:sz w:val="19"/>
                <w:szCs w:val="19"/>
              </w:rPr>
              <w:t xml:space="preserve">100%</w:t>
            </w:r>
          </w:p>
        </w:tc>
      </w:tr>
    </w:tbl>
    <w:p>
      <w:pPr>
        <w:pStyle w:val="Heading2"/>
        <w:spacing w:after="80" w:before="240"/>
      </w:pPr>
      <w:r>
        <w:rPr>
          <w:rFonts w:ascii="Calibri" w:cs="Calibri" w:eastAsia="Calibri" w:hAnsi="Calibri"/>
        </w:rPr>
        <w:t xml:space="preserve">Completion standard</w:t>
      </w:r>
    </w:p>
    <w:p>
      <w:pPr>
        <w:spacing w:after="120" w:line="276"/>
      </w:pPr>
      <w:r>
        <w:rPr>
          <w:rFonts w:ascii="Calibri" w:cs="Calibri" w:eastAsia="Calibri" w:hAnsi="Calibri"/>
          <w:sz w:val="21"/>
          <w:szCs w:val="21"/>
        </w:rPr>
        <w:t xml:space="preserve">Proposed standard: an overall score of at least 70%, a submitted final project and attendance of at least 24 of the 29 sessions. Graduates receive a certificate of completion and keep their portfolio repository. The training provider may adjust this policy before enrollment.</w:t>
      </w:r>
    </w:p>
    <w:p>
      <w:pPr>
        <w:pStyle w:val="Heading1"/>
        <w:spacing w:after="120" w:before="320"/>
      </w:pPr>
      <w:r>
        <w:rPr>
          <w:rFonts w:ascii="Calibri" w:cs="Calibri" w:eastAsia="Calibri" w:hAnsi="Calibri"/>
        </w:rPr>
        <w:t xml:space="preserve">Learning environment and materials</w:t>
      </w:r>
    </w:p>
    <w:p>
      <w:pPr>
        <w:spacing w:after="120" w:line="276"/>
      </w:pPr>
      <w:r>
        <w:rPr>
          <w:rFonts w:ascii="Calibri" w:cs="Calibri" w:eastAsia="Calibri" w:hAnsi="Calibri"/>
          <w:sz w:val="21"/>
          <w:szCs w:val="21"/>
        </w:rPr>
        <w:t xml:space="preserve">Learners need a computer capable of running Docker, a stable internet connection for live Zoom sessions, VS Code, Git, Node.js (LTS) and npm, Playwright, Postman, a GitHub account and access to a local or instructor-hosted n8n instance. The instructor supplies a training web application and API, seeded test data, starter exercises, the test-runner service, notification access and access to an AI model for the AI modules. Exact software versions are validated and pinned before delivery.</w:t>
      </w:r>
    </w:p>
    <w:p>
      <w:pPr>
        <w:spacing w:after="120" w:line="276"/>
      </w:pPr>
      <w:r>
        <w:rPr>
          <w:rFonts w:ascii="Calibri" w:cs="Calibri" w:eastAsia="Calibri" w:hAnsi="Calibri"/>
          <w:sz w:val="21"/>
          <w:szCs w:val="21"/>
        </w:rPr>
        <w:t xml:space="preserve">Learning resources: session slides and notes, step-by-step lab guides, example repositories, a setup checklist sent before session 1 and the official documentation for TypeScript, Playwright, Docker, GitHub Actions and n8n. Paid services are not required for the core labs.</w:t>
      </w:r>
    </w:p>
    <w:sectPr>
      <w:footerReference w:type="default" r:id="rId7"/>
      <w:pgSz w:w="12240" w:h="15840" w:orient="portrait"/>
      <w:pgMar w:top="1008" w:right="1152" w:bottom="1008" w:left="115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sz w:val="18"/>
        <w:szCs w:val="18"/>
      </w:rPr>
      <w:t xml:space="preserve">QA Manual &amp; Automation Course Syllabus  |  </w:t>
    </w:r>
    <w:r>
      <w:rPr>
        <w:rFonts w:ascii="Calibri" w:cs="Calibri" w:eastAsia="Calibri" w:hAnsi="Calibri"/>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F2933"/>
      <w:sz w:val="30"/>
      <w:szCs w:val="30"/>
    </w:rPr>
  </w:style>
  <w:style w:type="paragraph" w:styleId="Heading2">
    <w:name w:val="Heading 2"/>
    <w:basedOn w:val="Normal"/>
    <w:next w:val="Normal"/>
    <w:qFormat/>
    <w:pPr>
      <w:outlineLvl w:val="1"/>
    </w:pPr>
    <w:rPr>
      <w:rFonts w:ascii="Calibri" w:cs="Calibri" w:eastAsia="Calibri" w:hAnsi="Calibri"/>
      <w:b/>
      <w:bCs/>
      <w:color w:val="2E3A4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 Manual &amp; Automation Course Syllabus</dc:title>
  <dc:creator>Asaqa</dc:creator>
  <cp:lastModifiedBy>Un-named</cp:lastModifiedBy>
  <cp:revision>1</cp:revision>
  <dcterms:created xsi:type="dcterms:W3CDTF">2026-10-13T21:49:53.472Z</dcterms:created>
  <dcterms:modified xsi:type="dcterms:W3CDTF">2026-10-13T21:49:53.473Z</dcterms:modified>
</cp:coreProperties>
</file>

<file path=docProps/custom.xml><?xml version="1.0" encoding="utf-8"?>
<Properties xmlns="http://schemas.openxmlformats.org/officeDocument/2006/custom-properties" xmlns:vt="http://schemas.openxmlformats.org/officeDocument/2006/docPropsVTypes"/>
</file>